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3"/>
        <w:jc w:val="center"/>
        <w:rPr>
          <w:rFonts w:eastAsia="宋体"/>
        </w:rPr>
      </w:pPr>
      <w:r>
        <w:rPr>
          <w:rFonts w:ascii="Cambria" w:hAnsi="Cambria" w:eastAsia="宋体" w:cs="Times New Roman"/>
          <w:color w:val="17365D"/>
          <w:spacing w:val="5"/>
          <w:kern w:val="28"/>
          <w:sz w:val="52"/>
          <w:szCs w:val="52"/>
          <w:lang w:val="en-US" w:eastAsia="zh-CN" w:bidi="ar-SA"/>
        </w:rPr>
        <w:pict>
          <v:shape id="Picture 1" o:spid="_x0000_s1026" type="#_x0000_t75" style="position:absolute;left:0;margin-left:-5pt;margin-top:-2.3pt;height:58.6pt;width:58.65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</v:shape>
        </w:pict>
      </w:r>
      <w:r>
        <w:rPr>
          <w:lang w:eastAsia="en-US"/>
        </w:rPr>
        <w:t>Archbishop Carroll High</w:t>
      </w:r>
      <w:r>
        <w:t xml:space="preserve"> School</w:t>
      </w:r>
    </w:p>
    <w:p>
      <w:pPr>
        <w:pStyle w:val="13"/>
        <w:jc w:val="center"/>
        <w:rPr>
          <w:rFonts w:eastAsia="宋体"/>
        </w:rPr>
      </w:pPr>
      <w:r>
        <w:rPr>
          <w:rFonts w:hint="eastAsia" w:eastAsia="宋体"/>
        </w:rPr>
        <w:t>卡罗尔主教高中</w:t>
      </w:r>
    </w:p>
    <w:p>
      <w:r>
        <w:rPr>
          <w:rFonts w:hint="eastAsia"/>
        </w:rPr>
        <w:t>官网：</w:t>
      </w:r>
      <w:r>
        <w:t xml:space="preserve"> www.achsdc.org</w:t>
      </w:r>
    </w:p>
    <w:p>
      <w:pPr>
        <w:pStyle w:val="2"/>
        <w:spacing w:after="0"/>
        <w:rPr>
          <w:b w:val="0"/>
        </w:rPr>
      </w:pPr>
      <w:r>
        <w:rPr>
          <w:rFonts w:hint="eastAsia"/>
          <w:b w:val="0"/>
          <w:highlight w:val="yellow"/>
        </w:rPr>
        <w:t>基本信息</w:t>
      </w:r>
    </w:p>
    <w:p>
      <w:pPr>
        <w:spacing w:after="0"/>
      </w:pPr>
      <w:r>
        <w:rPr>
          <w:rFonts w:hint="eastAsia" w:hAnsi="宋体"/>
          <w:iCs/>
          <w:color w:val="243F60"/>
        </w:rPr>
        <w:t>学校类型：私立</w:t>
      </w:r>
      <w:r>
        <w:rPr>
          <w:rFonts w:hint="eastAsia" w:hAnsi="宋体"/>
        </w:rPr>
        <w:t>混校</w:t>
      </w:r>
    </w:p>
    <w:p>
      <w:pPr>
        <w:spacing w:after="0"/>
        <w:rPr>
          <w:iCs/>
          <w:color w:val="000000"/>
        </w:rPr>
      </w:pPr>
      <w:r>
        <w:rPr>
          <w:rFonts w:hint="eastAsia" w:hAnsi="宋体"/>
          <w:iCs/>
          <w:color w:val="243F60"/>
        </w:rPr>
        <w:t>宗教背景：</w:t>
      </w:r>
      <w:r>
        <w:rPr>
          <w:rFonts w:hint="eastAsia" w:hAnsi="宋体"/>
          <w:iCs/>
          <w:color w:val="000000"/>
        </w:rPr>
        <w:t>天主教</w:t>
      </w:r>
    </w:p>
    <w:p>
      <w:pPr>
        <w:spacing w:after="0"/>
        <w:rPr>
          <w:iCs/>
          <w:color w:val="000000"/>
        </w:rPr>
      </w:pPr>
      <w:r>
        <w:rPr>
          <w:rFonts w:hint="eastAsia" w:hAnsi="宋体"/>
          <w:iCs/>
          <w:color w:val="243F60"/>
        </w:rPr>
        <w:t>建校时间</w:t>
      </w:r>
      <w:r>
        <w:rPr>
          <w:rFonts w:hAnsi="宋体"/>
          <w:iCs/>
          <w:color w:val="243F60"/>
        </w:rPr>
        <w:t>：</w:t>
      </w:r>
      <w:r>
        <w:rPr>
          <w:color w:val="000000"/>
        </w:rPr>
        <w:t>19</w:t>
      </w:r>
      <w:r>
        <w:rPr>
          <w:rFonts w:hint="eastAsia"/>
          <w:color w:val="000000"/>
        </w:rPr>
        <w:t>51</w:t>
      </w:r>
      <w:r>
        <w:rPr>
          <w:rFonts w:hint="eastAsia" w:hAnsi="宋体"/>
          <w:color w:val="000000"/>
        </w:rPr>
        <w:t>年</w:t>
      </w:r>
    </w:p>
    <w:p>
      <w:pPr>
        <w:spacing w:after="0"/>
        <w:rPr>
          <w:iCs/>
          <w:color w:val="000000"/>
        </w:rPr>
      </w:pPr>
      <w:r>
        <w:rPr>
          <w:rFonts w:hint="eastAsia" w:hAnsi="宋体"/>
          <w:iCs/>
          <w:color w:val="243F60"/>
        </w:rPr>
        <w:t>年级：</w:t>
      </w:r>
      <w:r>
        <w:t>9-12</w:t>
      </w:r>
    </w:p>
    <w:p>
      <w:pPr>
        <w:spacing w:after="0"/>
        <w:rPr>
          <w:iCs/>
          <w:color w:val="000000"/>
        </w:rPr>
      </w:pPr>
      <w:r>
        <w:rPr>
          <w:rFonts w:hint="eastAsia" w:hAnsi="宋体"/>
          <w:iCs/>
          <w:color w:val="243F60"/>
        </w:rPr>
        <w:t>学生人数</w:t>
      </w:r>
      <w:r>
        <w:rPr>
          <w:rFonts w:hAnsi="宋体"/>
          <w:iCs/>
          <w:color w:val="243F60"/>
        </w:rPr>
        <w:t>：</w:t>
      </w:r>
      <w:r>
        <w:t>396</w:t>
      </w:r>
    </w:p>
    <w:p>
      <w:pPr>
        <w:spacing w:after="0"/>
        <w:rPr>
          <w:iCs/>
          <w:color w:val="000000"/>
        </w:rPr>
      </w:pPr>
      <w:r>
        <w:rPr>
          <w:rFonts w:hint="eastAsia" w:hAnsi="宋体"/>
          <w:iCs/>
          <w:color w:val="243F60"/>
        </w:rPr>
        <w:t>平均班级人数</w:t>
      </w:r>
      <w:r>
        <w:rPr>
          <w:rFonts w:hAnsi="宋体"/>
          <w:iCs/>
          <w:color w:val="243F60"/>
        </w:rPr>
        <w:t>：</w:t>
      </w:r>
      <w:r>
        <w:t>21</w:t>
      </w:r>
    </w:p>
    <w:p>
      <w:pPr>
        <w:spacing w:after="0"/>
        <w:rPr>
          <w:iCs/>
          <w:color w:val="243F60"/>
        </w:rPr>
      </w:pPr>
      <w:r>
        <w:rPr>
          <w:rFonts w:hint="eastAsia" w:hAnsi="宋体"/>
          <w:iCs/>
          <w:color w:val="243F60"/>
        </w:rPr>
        <w:t>高级教师</w:t>
      </w:r>
      <w:r>
        <w:rPr>
          <w:rFonts w:hAnsi="宋体"/>
          <w:iCs/>
          <w:color w:val="243F60"/>
        </w:rPr>
        <w:t>：</w:t>
      </w:r>
      <w:r>
        <w:t>58%</w:t>
      </w:r>
    </w:p>
    <w:p>
      <w:pPr>
        <w:spacing w:after="0"/>
        <w:rPr>
          <w:color w:val="000000"/>
        </w:rPr>
      </w:pPr>
      <w:r>
        <w:rPr>
          <w:rFonts w:hint="eastAsia" w:hAnsi="宋体"/>
          <w:iCs/>
          <w:color w:val="243F60"/>
        </w:rPr>
        <w:t>师生比例</w:t>
      </w:r>
      <w:r>
        <w:rPr>
          <w:rFonts w:hAnsi="宋体"/>
          <w:iCs/>
          <w:color w:val="243F60"/>
        </w:rPr>
        <w:t>：</w:t>
      </w:r>
      <w:r>
        <w:rPr>
          <w:color w:val="000000"/>
        </w:rPr>
        <w:t>1</w:t>
      </w:r>
      <w:r>
        <w:rPr>
          <w:rFonts w:hint="eastAsia"/>
          <w:color w:val="000000"/>
        </w:rPr>
        <w:t>:9</w:t>
      </w:r>
    </w:p>
    <w:p>
      <w:pPr>
        <w:spacing w:after="0"/>
        <w:rPr>
          <w:rFonts w:hAnsi="宋体"/>
        </w:rPr>
      </w:pPr>
      <w:r>
        <w:rPr>
          <w:rFonts w:hint="eastAsia" w:hAnsi="宋体"/>
          <w:iCs/>
          <w:color w:val="243F60"/>
        </w:rPr>
        <w:t>国际学生</w:t>
      </w:r>
      <w:r>
        <w:rPr>
          <w:rFonts w:hAnsi="宋体"/>
          <w:iCs/>
          <w:color w:val="243F60"/>
        </w:rPr>
        <w:t>：</w:t>
      </w:r>
      <w:r>
        <w:rPr>
          <w:rFonts w:hint="eastAsia"/>
          <w:iCs/>
          <w:color w:val="000000"/>
        </w:rPr>
        <w:t>4（2名欧洲国际生、1名越南国际生）</w:t>
      </w:r>
    </w:p>
    <w:p>
      <w:pPr>
        <w:spacing w:after="0"/>
        <w:rPr>
          <w:iCs/>
          <w:color w:val="000000"/>
        </w:rPr>
      </w:pPr>
      <w:r>
        <w:rPr>
          <w:rFonts w:hint="eastAsia"/>
          <w:iCs/>
          <w:color w:val="000000"/>
        </w:rPr>
        <w:t>住宿类型：寄宿家庭</w:t>
      </w:r>
    </w:p>
    <w:p>
      <w:pPr>
        <w:spacing w:after="0"/>
        <w:rPr>
          <w:iCs/>
          <w:color w:val="000000"/>
        </w:rPr>
      </w:pPr>
      <w:r>
        <w:rPr>
          <w:rFonts w:hint="eastAsia"/>
          <w:iCs/>
          <w:color w:val="000000"/>
        </w:rPr>
        <w:t>是否与GP合作：是</w:t>
      </w:r>
    </w:p>
    <w:p>
      <w:pPr>
        <w:pStyle w:val="2"/>
        <w:spacing w:after="0"/>
        <w:rPr>
          <w:b w:val="0"/>
        </w:rPr>
      </w:pPr>
      <w:r>
        <w:rPr>
          <w:rFonts w:hint="eastAsia"/>
          <w:b w:val="0"/>
          <w:highlight w:val="yellow"/>
        </w:rPr>
        <w:t>地理位置</w:t>
      </w:r>
    </w:p>
    <w:p>
      <w:pPr>
        <w:spacing w:after="0"/>
        <w:rPr>
          <w:iCs/>
          <w:color w:val="auto"/>
        </w:rPr>
      </w:pPr>
      <w:r>
        <w:rPr>
          <w:rFonts w:hint="eastAsia" w:hAnsi="宋体"/>
          <w:iCs/>
          <w:color w:val="243F60"/>
        </w:rPr>
        <w:t>地址：</w:t>
      </w:r>
      <w:r>
        <w:rPr>
          <w:color w:val="auto"/>
        </w:rPr>
        <w:t>4300 Harewood Rd NE, Washington DC  20017</w:t>
      </w:r>
    </w:p>
    <w:p>
      <w:pPr>
        <w:spacing w:after="0"/>
        <w:rPr>
          <w:iCs/>
          <w:color w:val="auto"/>
        </w:rPr>
      </w:pPr>
      <w:r>
        <w:rPr>
          <w:rFonts w:hint="eastAsia" w:hAnsi="宋体"/>
          <w:iCs/>
          <w:color w:val="243F60"/>
        </w:rPr>
        <w:t>所在州：</w:t>
      </w:r>
      <w:r>
        <w:rPr>
          <w:rFonts w:hint="eastAsia" w:hAnsi="宋体"/>
          <w:iCs/>
          <w:color w:val="auto"/>
        </w:rPr>
        <w:t>哥伦比亚特区</w:t>
      </w:r>
    </w:p>
    <w:p>
      <w:pPr>
        <w:spacing w:after="0"/>
        <w:rPr>
          <w:color w:val="000000"/>
        </w:rPr>
      </w:pPr>
      <w:r>
        <w:rPr>
          <w:rFonts w:hint="eastAsia" w:hAnsi="宋体"/>
          <w:iCs/>
          <w:color w:val="243F60"/>
        </w:rPr>
        <w:t>最近的大城市：</w:t>
      </w:r>
      <w:r>
        <w:rPr>
          <w:rFonts w:hint="eastAsia" w:hAnsi="宋体"/>
          <w:color w:val="000000"/>
        </w:rPr>
        <w:t>华盛顿特区（17分钟车程）</w:t>
      </w:r>
    </w:p>
    <w:p>
      <w:pPr>
        <w:spacing w:after="0"/>
        <w:rPr>
          <w:color w:val="000000"/>
        </w:rPr>
      </w:pPr>
      <w:r>
        <w:rPr>
          <w:rFonts w:hint="eastAsia" w:hAnsi="宋体"/>
          <w:iCs/>
          <w:color w:val="243F60"/>
        </w:rPr>
        <w:t>最近的大学：</w:t>
      </w:r>
      <w:r>
        <w:rPr>
          <w:rFonts w:hint="eastAsia" w:hAnsi="宋体"/>
          <w:color w:val="000000"/>
        </w:rPr>
        <w:t>乔治城大学（全美排名</w:t>
      </w:r>
      <w:r>
        <w:rPr>
          <w:rFonts w:hint="eastAsia"/>
          <w:color w:val="000000"/>
        </w:rPr>
        <w:t>20</w:t>
      </w:r>
      <w:r>
        <w:rPr>
          <w:rFonts w:hint="eastAsia" w:hAnsi="宋体"/>
          <w:color w:val="000000"/>
        </w:rPr>
        <w:t>）</w:t>
      </w:r>
    </w:p>
    <w:p>
      <w:pPr>
        <w:spacing w:after="0"/>
        <w:rPr>
          <w:color w:val="000000"/>
        </w:rPr>
      </w:pPr>
      <w:r>
        <w:rPr>
          <w:rFonts w:hint="eastAsia" w:hAnsi="宋体"/>
          <w:iCs/>
          <w:color w:val="243F60"/>
        </w:rPr>
        <w:t>气候：</w:t>
      </w:r>
      <w:r>
        <w:rPr>
          <w:rFonts w:hint="eastAsia" w:hAnsi="宋体"/>
          <w:color w:val="000000"/>
        </w:rPr>
        <w:t>四季分明</w:t>
      </w:r>
    </w:p>
    <w:p>
      <w:pPr>
        <w:spacing w:after="0"/>
        <w:rPr>
          <w:color w:val="000000"/>
        </w:rPr>
      </w:pPr>
      <w:r>
        <w:rPr>
          <w:rFonts w:hint="eastAsia" w:hAnsi="宋体"/>
          <w:iCs/>
          <w:color w:val="243F60"/>
        </w:rPr>
        <w:t>抵达机场：</w:t>
      </w:r>
      <w:r>
        <w:rPr>
          <w:rFonts w:hint="eastAsia" w:hAnsi="宋体"/>
          <w:color w:val="000000"/>
        </w:rPr>
        <w:t>巴尔的摩华盛顿国际机场（</w:t>
      </w:r>
      <w:r>
        <w:rPr>
          <w:color w:val="auto"/>
        </w:rPr>
        <w:t>BWI</w:t>
      </w:r>
      <w:r>
        <w:rPr>
          <w:rFonts w:hint="eastAsia" w:hAnsi="宋体"/>
          <w:color w:val="000000"/>
        </w:rPr>
        <w:t>）</w:t>
      </w:r>
    </w:p>
    <w:p>
      <w:pPr>
        <w:pStyle w:val="2"/>
        <w:spacing w:after="0"/>
        <w:rPr>
          <w:b w:val="0"/>
        </w:rPr>
      </w:pPr>
      <w:r>
        <w:rPr>
          <w:rFonts w:hint="eastAsia"/>
          <w:b w:val="0"/>
          <w:highlight w:val="yellow"/>
        </w:rPr>
        <w:t>国际生费用</w:t>
      </w:r>
    </w:p>
    <w:p>
      <w:pPr>
        <w:spacing w:after="0"/>
        <w:ind w:left="720" w:hanging="720"/>
        <w:rPr>
          <w:color w:val="243F60"/>
          <w:u w:val="single"/>
        </w:rPr>
      </w:pPr>
      <w:r>
        <w:rPr>
          <w:rFonts w:hint="eastAsia"/>
          <w:color w:val="243F60"/>
          <w:u w:val="single"/>
        </w:rPr>
        <w:t>学习费用</w:t>
      </w:r>
      <w:r>
        <w:rPr>
          <w:color w:val="243F60"/>
          <w:u w:val="single"/>
        </w:rPr>
        <w:t>（201</w:t>
      </w:r>
      <w:r>
        <w:rPr>
          <w:rFonts w:hint="eastAsia"/>
          <w:color w:val="243F60"/>
          <w:u w:val="single"/>
        </w:rPr>
        <w:t>4</w:t>
      </w:r>
      <w:r>
        <w:rPr>
          <w:color w:val="243F60"/>
          <w:u w:val="single"/>
        </w:rPr>
        <w:t>-201</w:t>
      </w:r>
      <w:r>
        <w:rPr>
          <w:rFonts w:hint="eastAsia"/>
          <w:color w:val="243F60"/>
          <w:u w:val="single"/>
        </w:rPr>
        <w:t>5</w:t>
      </w:r>
      <w:r>
        <w:rPr>
          <w:color w:val="243F60"/>
          <w:u w:val="single"/>
        </w:rPr>
        <w:t>）：</w:t>
      </w:r>
      <w:r>
        <w:t>$39,640</w:t>
      </w:r>
      <w:r>
        <w:rPr>
          <w:rFonts w:hint="eastAsia"/>
        </w:rPr>
        <w:t>包括学费、食宿费和英语辅导费；</w:t>
      </w:r>
    </w:p>
    <w:p>
      <w:pPr>
        <w:spacing w:after="0"/>
        <w:ind w:left="720" w:hanging="720"/>
        <w:rPr>
          <w:color w:val="243F60"/>
          <w:u w:val="single"/>
        </w:rPr>
      </w:pPr>
      <w:r>
        <w:rPr>
          <w:rFonts w:hint="eastAsia"/>
          <w:color w:val="243F60"/>
          <w:u w:val="single"/>
        </w:rPr>
        <w:t>一次性费用</w:t>
      </w:r>
      <w:r>
        <w:rPr>
          <w:color w:val="243F60"/>
          <w:u w:val="single"/>
        </w:rPr>
        <w:t>（</w:t>
      </w:r>
      <w:r>
        <w:rPr>
          <w:rFonts w:hint="eastAsia"/>
          <w:color w:val="243F60"/>
          <w:u w:val="single"/>
        </w:rPr>
        <w:t>仅第一年</w:t>
      </w:r>
      <w:r>
        <w:rPr>
          <w:color w:val="243F60"/>
          <w:u w:val="single"/>
        </w:rPr>
        <w:t>）：</w:t>
      </w:r>
      <w:r>
        <w:rPr>
          <w:rFonts w:hint="eastAsia"/>
        </w:rPr>
        <w:t>申请费，</w:t>
      </w:r>
      <w:r>
        <w:t>$160</w:t>
      </w:r>
      <w:r>
        <w:rPr>
          <w:rFonts w:hint="eastAsia"/>
        </w:rPr>
        <w:t>；新生指导费，</w:t>
      </w:r>
      <w:r>
        <w:t>$2000*</w:t>
      </w:r>
      <w:r>
        <w:rPr>
          <w:rFonts w:hint="eastAsia"/>
        </w:rPr>
        <w:t>；</w:t>
      </w:r>
    </w:p>
    <w:p>
      <w:pPr>
        <w:spacing w:after="0"/>
        <w:ind w:left="720" w:hanging="720"/>
        <w:rPr>
          <w:bCs/>
          <w:color w:val="C00000"/>
        </w:rPr>
      </w:pPr>
      <w:r>
        <w:rPr>
          <w:rFonts w:hint="eastAsia"/>
          <w:bCs/>
          <w:color w:val="C00000"/>
        </w:rPr>
        <w:t>费用不包括书本费、校服费、体育选修课费用及健康保险费用。</w:t>
      </w:r>
    </w:p>
    <w:p>
      <w:pPr>
        <w:pStyle w:val="2"/>
        <w:rPr>
          <w:b w:val="0"/>
          <w:bCs w:val="0"/>
          <w:color w:val="000000"/>
          <w:sz w:val="22"/>
          <w:szCs w:val="22"/>
        </w:rPr>
      </w:pPr>
      <w:r>
        <w:rPr>
          <w:rFonts w:hint="eastAsia"/>
          <w:b w:val="0"/>
          <w:bCs w:val="0"/>
          <w:color w:val="000000"/>
          <w:sz w:val="22"/>
          <w:szCs w:val="22"/>
        </w:rPr>
        <w:t>*国际新生指导费包括2个部分，一个是在中国举行的为期2天的行前指导，另一个是抵达美国以后在美国学校举行的新生指导。</w:t>
      </w:r>
    </w:p>
    <w:p>
      <w:pPr>
        <w:pStyle w:val="2"/>
        <w:rPr>
          <w:highlight w:val="yellow"/>
        </w:rPr>
      </w:pPr>
      <w:r>
        <w:rPr>
          <w:highlight w:val="yellow"/>
        </w:rPr>
        <w:t>Notable Points</w:t>
      </w:r>
    </w:p>
    <w:tbl>
      <w:tblPr>
        <w:tblStyle w:val="16"/>
        <w:tblW w:w="59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88"/>
        <w:gridCol w:w="4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0" w:hRule="atLeast"/>
        </w:trPr>
        <w:tc>
          <w:tcPr>
            <w:tcW w:w="1188" w:type="dxa"/>
            <w:vAlign w:val="top"/>
          </w:tcPr>
          <w:p>
            <w:pPr>
              <w:pStyle w:val="3"/>
              <w:rPr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  <w:highlight w:val="yellow"/>
              </w:rPr>
              <w:t>Icon Code</w:t>
            </w:r>
          </w:p>
        </w:tc>
        <w:tc>
          <w:tcPr>
            <w:tcW w:w="4796" w:type="dxa"/>
            <w:vAlign w:val="top"/>
          </w:tcPr>
          <w:p>
            <w:pPr>
              <w:pStyle w:val="3"/>
              <w:rPr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  <w:highlight w:val="yellow"/>
              </w:rPr>
              <w:t>Modifier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0" w:hRule="atLeast"/>
        </w:trPr>
        <w:tc>
          <w:tcPr>
            <w:tcW w:w="1188" w:type="dxa"/>
            <w:vAlign w:val="top"/>
          </w:tcPr>
          <w:p>
            <w:pPr>
              <w:pStyle w:val="3"/>
              <w:rPr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  <w:highlight w:val="yellow"/>
              </w:rPr>
              <w:t>1b</w:t>
            </w:r>
          </w:p>
        </w:tc>
        <w:tc>
          <w:tcPr>
            <w:tcW w:w="4796" w:type="dxa"/>
            <w:vAlign w:val="top"/>
          </w:tcPr>
          <w:p>
            <w:pPr>
              <w:pStyle w:val="3"/>
              <w:rPr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开设1</w:t>
            </w: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  <w:highlight w:val="yellow"/>
              </w:rPr>
              <w:t>8</w:t>
            </w: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门IB课程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0" w:hRule="atLeast"/>
        </w:trPr>
        <w:tc>
          <w:tcPr>
            <w:tcW w:w="1188" w:type="dxa"/>
            <w:vAlign w:val="top"/>
          </w:tcPr>
          <w:p>
            <w:pPr>
              <w:pStyle w:val="3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  <w:highlight w:val="yellow"/>
              </w:rPr>
              <w:t>1f</w:t>
            </w:r>
          </w:p>
        </w:tc>
        <w:tc>
          <w:tcPr>
            <w:tcW w:w="4796" w:type="dxa"/>
            <w:vAlign w:val="top"/>
          </w:tcPr>
          <w:p>
            <w:pPr>
              <w:pStyle w:val="3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可携带平板电脑和笔记本电脑在校使用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0" w:hRule="atLeast"/>
        </w:trPr>
        <w:tc>
          <w:tcPr>
            <w:tcW w:w="1188" w:type="dxa"/>
            <w:vAlign w:val="top"/>
          </w:tcPr>
          <w:p>
            <w:pPr>
              <w:pStyle w:val="3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4a</w:t>
            </w:r>
          </w:p>
        </w:tc>
        <w:tc>
          <w:tcPr>
            <w:tcW w:w="4796" w:type="dxa"/>
            <w:vAlign w:val="top"/>
          </w:tcPr>
          <w:p>
            <w:pPr>
              <w:pStyle w:val="3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学校拉拉队获得国家拉拉队大奖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0" w:hRule="atLeast"/>
        </w:trPr>
        <w:tc>
          <w:tcPr>
            <w:tcW w:w="1188" w:type="dxa"/>
            <w:vAlign w:val="top"/>
          </w:tcPr>
          <w:p>
            <w:pPr>
              <w:pStyle w:val="3"/>
              <w:rPr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  <w:highlight w:val="yellow"/>
              </w:rPr>
              <w:t>6b</w:t>
            </w:r>
          </w:p>
        </w:tc>
        <w:tc>
          <w:tcPr>
            <w:tcW w:w="4796" w:type="dxa"/>
            <w:vAlign w:val="top"/>
          </w:tcPr>
          <w:p>
            <w:pPr>
              <w:pStyle w:val="3"/>
              <w:rPr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  <w:highlight w:val="yellow"/>
              </w:rPr>
              <w:t>邻近林肯纪念堂，</w:t>
            </w:r>
            <w:r>
              <w:rPr>
                <w:b w:val="0"/>
                <w:bCs w:val="0"/>
                <w:color w:val="000000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  <w:highlight w:val="yellow"/>
              </w:rPr>
              <w:t>美国天主大学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0" w:hRule="atLeast"/>
        </w:trPr>
        <w:tc>
          <w:tcPr>
            <w:tcW w:w="1188" w:type="dxa"/>
            <w:vAlign w:val="top"/>
          </w:tcPr>
          <w:p>
            <w:pPr>
              <w:pStyle w:val="3"/>
              <w:rPr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  <w:highlight w:val="yellow"/>
              </w:rPr>
              <w:t>5b</w:t>
            </w:r>
          </w:p>
        </w:tc>
        <w:tc>
          <w:tcPr>
            <w:tcW w:w="4796" w:type="dxa"/>
            <w:vAlign w:val="top"/>
          </w:tcPr>
          <w:p>
            <w:pPr>
              <w:pStyle w:val="3"/>
              <w:rPr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</w:rPr>
              <w:t>校友</w:t>
            </w: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  <w:highlight w:val="yellow"/>
              </w:rPr>
              <w:t>遍布政界、商界、教育界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4" w:hRule="atLeast"/>
        </w:trPr>
        <w:tc>
          <w:tcPr>
            <w:tcW w:w="1188" w:type="dxa"/>
            <w:vAlign w:val="top"/>
          </w:tcPr>
          <w:p>
            <w:pPr>
              <w:pStyle w:val="3"/>
              <w:rPr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  <w:highlight w:val="yellow"/>
              </w:rPr>
              <w:t>1g</w:t>
            </w:r>
          </w:p>
        </w:tc>
        <w:tc>
          <w:tcPr>
            <w:tcW w:w="4796" w:type="dxa"/>
            <w:vAlign w:val="top"/>
          </w:tcPr>
          <w:p>
            <w:pPr>
              <w:pStyle w:val="3"/>
              <w:rPr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  <w:highlight w:val="yellow"/>
              </w:rPr>
              <w:t>与临近大学合作开设双学分课程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4" w:hRule="atLeast"/>
        </w:trPr>
        <w:tc>
          <w:tcPr>
            <w:tcW w:w="1188" w:type="dxa"/>
            <w:vAlign w:val="top"/>
          </w:tcPr>
          <w:p>
            <w:pPr>
              <w:pStyle w:val="3"/>
              <w:rPr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  <w:highlight w:val="yellow"/>
              </w:rPr>
              <w:t>4b</w:t>
            </w:r>
          </w:p>
        </w:tc>
        <w:tc>
          <w:tcPr>
            <w:tcW w:w="4796" w:type="dxa"/>
            <w:vAlign w:val="top"/>
          </w:tcPr>
          <w:p>
            <w:pPr>
              <w:pStyle w:val="3"/>
              <w:rPr>
                <w:rFonts w:hint="eastAsia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  <w:highlight w:val="yellow"/>
              </w:rPr>
              <w:t>优秀的声乐和器乐课程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4" w:hRule="atLeast"/>
        </w:trPr>
        <w:tc>
          <w:tcPr>
            <w:tcW w:w="1188" w:type="dxa"/>
            <w:vAlign w:val="top"/>
          </w:tcPr>
          <w:p>
            <w:pPr>
              <w:pStyle w:val="3"/>
              <w:rPr>
                <w:rFonts w:hint="eastAsia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  <w:highlight w:val="yellow"/>
              </w:rPr>
              <w:t>4c1</w:t>
            </w:r>
          </w:p>
        </w:tc>
        <w:tc>
          <w:tcPr>
            <w:tcW w:w="4796" w:type="dxa"/>
            <w:vAlign w:val="top"/>
          </w:tcPr>
          <w:p>
            <w:pPr>
              <w:pStyle w:val="3"/>
              <w:rPr>
                <w:rFonts w:hint="eastAsia"/>
                <w:b w:val="0"/>
                <w:bCs w:val="0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  <w:highlight w:val="yellow"/>
              </w:rPr>
              <w:t>适合希望学习平面设计的学生</w:t>
            </w:r>
          </w:p>
        </w:tc>
      </w:tr>
    </w:tbl>
    <w:p>
      <w:pPr>
        <w:pStyle w:val="2"/>
      </w:pPr>
      <w:r>
        <w:rPr>
          <w:rFonts w:hint="eastAsia"/>
          <w:highlight w:val="yellow"/>
        </w:rPr>
        <w:t>学术课程</w:t>
      </w:r>
    </w:p>
    <w:p>
      <w:pPr>
        <w:rPr>
          <w:highlight w:val="yellow"/>
        </w:rPr>
      </w:pPr>
      <w:r>
        <w:rPr>
          <w:rFonts w:hint="eastAsia"/>
          <w:highlight w:val="yellow"/>
        </w:rPr>
        <w:t>学术统计</w:t>
      </w:r>
    </w:p>
    <w:p>
      <w:pPr>
        <w:pStyle w:val="20"/>
        <w:numPr>
          <w:ilvl w:val="0"/>
          <w:numId w:val="1"/>
        </w:numPr>
        <w:rPr>
          <w:highlight w:val="yellow"/>
        </w:rPr>
      </w:pPr>
      <w:r>
        <w:rPr>
          <w:rFonts w:hint="eastAsia"/>
          <w:highlight w:val="yellow"/>
        </w:rPr>
        <w:t>高级课程：</w:t>
      </w:r>
      <w:r>
        <w:rPr>
          <w:highlight w:val="yellow"/>
        </w:rPr>
        <w:t>41</w:t>
      </w:r>
    </w:p>
    <w:p>
      <w:pPr>
        <w:pStyle w:val="20"/>
        <w:numPr>
          <w:ilvl w:val="0"/>
          <w:numId w:val="1"/>
        </w:numPr>
        <w:rPr>
          <w:highlight w:val="yellow"/>
        </w:rPr>
      </w:pPr>
      <w:r>
        <w:rPr>
          <w:rFonts w:hint="eastAsia"/>
          <w:highlight w:val="yellow"/>
        </w:rPr>
        <w:t>荣誉课程：</w:t>
      </w:r>
      <w:r>
        <w:rPr>
          <w:highlight w:val="yellow"/>
        </w:rPr>
        <w:t>23</w:t>
      </w:r>
    </w:p>
    <w:p>
      <w:pPr>
        <w:pStyle w:val="20"/>
        <w:numPr>
          <w:ilvl w:val="0"/>
          <w:numId w:val="1"/>
        </w:numPr>
        <w:rPr>
          <w:highlight w:val="yellow"/>
        </w:rPr>
      </w:pPr>
      <w:r>
        <w:rPr>
          <w:highlight w:val="yellow"/>
        </w:rPr>
        <w:t xml:space="preserve">IB </w:t>
      </w:r>
      <w:r>
        <w:rPr>
          <w:rFonts w:hint="eastAsia"/>
          <w:highlight w:val="yellow"/>
        </w:rPr>
        <w:t>课程：</w:t>
      </w:r>
      <w:r>
        <w:rPr>
          <w:highlight w:val="yellow"/>
        </w:rPr>
        <w:t>18*</w:t>
      </w:r>
    </w:p>
    <w:p>
      <w:pPr>
        <w:pStyle w:val="20"/>
        <w:numPr>
          <w:ilvl w:val="0"/>
          <w:numId w:val="1"/>
        </w:numPr>
        <w:rPr>
          <w:highlight w:val="yellow"/>
        </w:rPr>
      </w:pPr>
      <w:r>
        <w:rPr>
          <w:rFonts w:hint="eastAsia"/>
          <w:highlight w:val="yellow"/>
        </w:rPr>
        <w:t>双学分课程：学生可以通过美国天主大学学习大学水平的课程，大学校园距本校仅需要5分钟步行路程。学生可以在天主大学学习所有本校未开设的课程。</w:t>
      </w:r>
      <w:r>
        <w:rPr>
          <w:highlight w:val="yellow"/>
        </w:rPr>
        <w:t xml:space="preserve"> </w:t>
      </w:r>
    </w:p>
    <w:tbl>
      <w:tblPr>
        <w:tblStyle w:val="16"/>
        <w:tblpPr w:leftFromText="180" w:rightFromText="180" w:vertAnchor="text" w:horzAnchor="margin" w:tblpXSpec="left" w:tblpY="522"/>
        <w:tblW w:w="4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54"/>
        <w:gridCol w:w="1554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88" w:hRule="atLeast"/>
        </w:trPr>
        <w:tc>
          <w:tcPr>
            <w:tcW w:w="3108" w:type="dxa"/>
            <w:gridSpan w:val="2"/>
            <w:vAlign w:val="top"/>
          </w:tcPr>
          <w:p>
            <w:pPr>
              <w:jc w:val="center"/>
              <w:rPr>
                <w:b/>
                <w:highlight w:val="yellow"/>
                <w:u w:val="single"/>
              </w:rPr>
            </w:pPr>
            <w:r>
              <w:rPr>
                <w:rFonts w:hint="eastAsia"/>
                <w:b/>
                <w:highlight w:val="yellow"/>
                <w:u w:val="single"/>
              </w:rPr>
              <w:t>高级数学和科学课程</w:t>
            </w:r>
          </w:p>
        </w:tc>
        <w:tc>
          <w:tcPr>
            <w:tcW w:w="1540" w:type="dxa"/>
            <w:vAlign w:val="top"/>
          </w:tcPr>
          <w:p>
            <w:pPr>
              <w:jc w:val="center"/>
              <w:rPr>
                <w:rFonts w:hint="eastAsia"/>
                <w:b/>
                <w:highlight w:val="yellow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54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IB </w:t>
            </w:r>
            <w:r>
              <w:rPr>
                <w:rFonts w:hint="eastAsia"/>
                <w:highlight w:val="yellow"/>
              </w:rPr>
              <w:t>生物</w:t>
            </w:r>
          </w:p>
        </w:tc>
        <w:tc>
          <w:tcPr>
            <w:tcW w:w="1554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IB </w:t>
            </w:r>
            <w:r>
              <w:rPr>
                <w:rFonts w:hint="eastAsia"/>
                <w:highlight w:val="yellow"/>
              </w:rPr>
              <w:t>数学研究</w:t>
            </w:r>
          </w:p>
        </w:tc>
        <w:tc>
          <w:tcPr>
            <w:tcW w:w="1540" w:type="dxa"/>
            <w:vAlign w:val="top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54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IB </w:t>
            </w:r>
            <w:r>
              <w:rPr>
                <w:rFonts w:hint="eastAsia"/>
                <w:highlight w:val="yellow"/>
              </w:rPr>
              <w:t>化学</w:t>
            </w:r>
          </w:p>
        </w:tc>
        <w:tc>
          <w:tcPr>
            <w:tcW w:w="1554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IB </w:t>
            </w:r>
            <w:r>
              <w:rPr>
                <w:rFonts w:hint="eastAsia"/>
                <w:highlight w:val="yellow"/>
              </w:rPr>
              <w:t>数学</w:t>
            </w:r>
          </w:p>
        </w:tc>
        <w:tc>
          <w:tcPr>
            <w:tcW w:w="1540" w:type="dxa"/>
            <w:vAlign w:val="top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54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荣誉</w:t>
            </w:r>
            <w:r>
              <w:rPr>
                <w:highlight w:val="yellow"/>
              </w:rPr>
              <w:t xml:space="preserve"> </w:t>
            </w:r>
            <w:r>
              <w:rPr>
                <w:rFonts w:hint="eastAsia"/>
                <w:highlight w:val="yellow"/>
              </w:rPr>
              <w:t>概念物理学</w:t>
            </w:r>
          </w:p>
        </w:tc>
        <w:tc>
          <w:tcPr>
            <w:tcW w:w="1554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荣誉</w:t>
            </w:r>
            <w:r>
              <w:rPr>
                <w:highlight w:val="yellow"/>
              </w:rPr>
              <w:t xml:space="preserve"> </w:t>
            </w:r>
            <w:r>
              <w:rPr>
                <w:rFonts w:hint="eastAsia"/>
                <w:highlight w:val="yellow"/>
              </w:rPr>
              <w:t>生物学</w:t>
            </w:r>
          </w:p>
        </w:tc>
        <w:tc>
          <w:tcPr>
            <w:tcW w:w="1540" w:type="dxa"/>
            <w:vAlign w:val="top"/>
          </w:tcPr>
          <w:p>
            <w:pPr>
              <w:rPr>
                <w:rFonts w:hint="eastAsia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54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荣誉</w:t>
            </w:r>
            <w:r>
              <w:rPr>
                <w:highlight w:val="yellow"/>
              </w:rPr>
              <w:t xml:space="preserve"> </w:t>
            </w:r>
            <w:r>
              <w:rPr>
                <w:rFonts w:hint="eastAsia"/>
                <w:highlight w:val="yellow"/>
              </w:rPr>
              <w:t>生物化学</w:t>
            </w:r>
          </w:p>
        </w:tc>
        <w:tc>
          <w:tcPr>
            <w:tcW w:w="1554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荣誉化学</w:t>
            </w:r>
          </w:p>
        </w:tc>
        <w:tc>
          <w:tcPr>
            <w:tcW w:w="1540" w:type="dxa"/>
            <w:vAlign w:val="top"/>
          </w:tcPr>
          <w:p>
            <w:pPr>
              <w:rPr>
                <w:rFonts w:hint="eastAsia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54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荣誉物理学</w:t>
            </w:r>
          </w:p>
        </w:tc>
        <w:tc>
          <w:tcPr>
            <w:tcW w:w="1554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荣誉代数</w:t>
            </w:r>
            <w:r>
              <w:rPr>
                <w:highlight w:val="yellow"/>
              </w:rPr>
              <w:t xml:space="preserve">I </w:t>
            </w:r>
            <w:r>
              <w:rPr>
                <w:rFonts w:hint="eastAsia"/>
                <w:highlight w:val="yellow"/>
              </w:rPr>
              <w:t>和</w:t>
            </w:r>
            <w:r>
              <w:rPr>
                <w:highlight w:val="yellow"/>
              </w:rPr>
              <w:t xml:space="preserve"> II</w:t>
            </w:r>
          </w:p>
        </w:tc>
        <w:tc>
          <w:tcPr>
            <w:tcW w:w="1540" w:type="dxa"/>
            <w:vAlign w:val="top"/>
          </w:tcPr>
          <w:p>
            <w:pPr>
              <w:rPr>
                <w:rFonts w:hint="eastAsia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54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荣誉几何学</w:t>
            </w:r>
          </w:p>
        </w:tc>
        <w:tc>
          <w:tcPr>
            <w:tcW w:w="1554" w:type="dxa"/>
            <w:vAlign w:val="top"/>
          </w:tcPr>
          <w:p>
            <w:pPr>
              <w:rPr>
                <w:highlight w:val="yellow"/>
              </w:rPr>
            </w:pPr>
          </w:p>
        </w:tc>
        <w:tc>
          <w:tcPr>
            <w:tcW w:w="1540" w:type="dxa"/>
            <w:vAlign w:val="top"/>
          </w:tcPr>
          <w:p>
            <w:pPr>
              <w:rPr>
                <w:highlight w:val="yellow"/>
              </w:rPr>
            </w:pPr>
          </w:p>
        </w:tc>
      </w:tr>
    </w:tbl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tbl>
      <w:tblPr>
        <w:tblStyle w:val="16"/>
        <w:tblW w:w="25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63"/>
        <w:gridCol w:w="863"/>
        <w:gridCol w:w="1"/>
        <w:gridCol w:w="859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8" w:hRule="atLeast"/>
        </w:trPr>
        <w:tc>
          <w:tcPr>
            <w:tcW w:w="1727" w:type="dxa"/>
            <w:gridSpan w:val="3"/>
            <w:vAlign w:val="top"/>
          </w:tcPr>
          <w:p>
            <w:pPr>
              <w:jc w:val="center"/>
              <w:rPr>
                <w:b/>
                <w:highlight w:val="yellow"/>
                <w:u w:val="single"/>
              </w:rPr>
            </w:pPr>
            <w:r>
              <w:rPr>
                <w:rFonts w:hint="eastAsia"/>
                <w:b/>
                <w:highlight w:val="yellow"/>
                <w:u w:val="single"/>
              </w:rPr>
              <w:t>高级人文课程</w:t>
            </w:r>
          </w:p>
        </w:tc>
        <w:tc>
          <w:tcPr>
            <w:tcW w:w="860" w:type="dxa"/>
            <w:gridSpan w:val="2"/>
            <w:vAlign w:val="top"/>
          </w:tcPr>
          <w:p>
            <w:pPr>
              <w:jc w:val="center"/>
              <w:rPr>
                <w:rFonts w:hint="eastAsia"/>
                <w:b/>
                <w:highlight w:val="yellow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863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IB </w:t>
            </w:r>
            <w:r>
              <w:rPr>
                <w:rFonts w:hint="eastAsia"/>
                <w:highlight w:val="yellow"/>
              </w:rPr>
              <w:t>英语</w:t>
            </w:r>
          </w:p>
        </w:tc>
        <w:tc>
          <w:tcPr>
            <w:tcW w:w="863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IB拉丁</w:t>
            </w:r>
          </w:p>
        </w:tc>
        <w:tc>
          <w:tcPr>
            <w:tcW w:w="860" w:type="dxa"/>
            <w:gridSpan w:val="2"/>
            <w:vAlign w:val="top"/>
          </w:tcPr>
          <w:p>
            <w:pPr>
              <w:rPr>
                <w:rFonts w:hint="eastAsia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863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IB 法语</w:t>
            </w:r>
          </w:p>
        </w:tc>
        <w:tc>
          <w:tcPr>
            <w:tcW w:w="863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IB </w:t>
            </w:r>
            <w:r>
              <w:rPr>
                <w:rFonts w:hint="eastAsia"/>
                <w:highlight w:val="yellow"/>
              </w:rPr>
              <w:t>音乐</w:t>
            </w:r>
          </w:p>
        </w:tc>
        <w:tc>
          <w:tcPr>
            <w:tcW w:w="860" w:type="dxa"/>
            <w:gridSpan w:val="2"/>
            <w:vAlign w:val="top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863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IB历史（美国）</w:t>
            </w:r>
          </w:p>
        </w:tc>
        <w:tc>
          <w:tcPr>
            <w:tcW w:w="863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IB西班牙</w:t>
            </w:r>
          </w:p>
        </w:tc>
        <w:tc>
          <w:tcPr>
            <w:tcW w:w="860" w:type="dxa"/>
            <w:gridSpan w:val="2"/>
            <w:vAlign w:val="top"/>
          </w:tcPr>
          <w:p>
            <w:pPr>
              <w:rPr>
                <w:rFonts w:hint="eastAsia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863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IB </w:t>
            </w:r>
            <w:r>
              <w:rPr>
                <w:rFonts w:hint="eastAsia"/>
                <w:highlight w:val="yellow"/>
              </w:rPr>
              <w:t>国际社会知识</w:t>
            </w:r>
          </w:p>
        </w:tc>
        <w:tc>
          <w:tcPr>
            <w:tcW w:w="863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IB </w:t>
            </w:r>
            <w:r>
              <w:rPr>
                <w:rFonts w:hint="eastAsia"/>
                <w:highlight w:val="yellow"/>
              </w:rPr>
              <w:t>视觉艺术</w:t>
            </w:r>
            <w:r>
              <w:rPr>
                <w:highlight w:val="yellow"/>
              </w:rPr>
              <w:t xml:space="preserve"> </w:t>
            </w:r>
          </w:p>
        </w:tc>
        <w:tc>
          <w:tcPr>
            <w:tcW w:w="860" w:type="dxa"/>
            <w:gridSpan w:val="2"/>
            <w:vAlign w:val="top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863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IB </w:t>
            </w:r>
            <w:r>
              <w:rPr>
                <w:rFonts w:hint="eastAsia"/>
                <w:highlight w:val="yellow"/>
              </w:rPr>
              <w:t>音乐</w:t>
            </w:r>
          </w:p>
        </w:tc>
        <w:tc>
          <w:tcPr>
            <w:tcW w:w="863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荣誉英语</w:t>
            </w:r>
            <w:r>
              <w:rPr>
                <w:highlight w:val="yellow"/>
              </w:rPr>
              <w:t xml:space="preserve"> I</w:t>
            </w:r>
          </w:p>
        </w:tc>
        <w:tc>
          <w:tcPr>
            <w:tcW w:w="860" w:type="dxa"/>
            <w:gridSpan w:val="2"/>
            <w:vAlign w:val="top"/>
          </w:tcPr>
          <w:p>
            <w:pPr>
              <w:rPr>
                <w:rFonts w:hint="eastAsia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863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荣誉文学分析</w:t>
            </w:r>
          </w:p>
        </w:tc>
        <w:tc>
          <w:tcPr>
            <w:tcW w:w="863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荣誉拉丁</w:t>
            </w:r>
            <w:r>
              <w:rPr>
                <w:highlight w:val="yellow"/>
              </w:rPr>
              <w:t xml:space="preserve"> I </w:t>
            </w:r>
            <w:r>
              <w:rPr>
                <w:rFonts w:hint="eastAsia"/>
                <w:highlight w:val="yellow"/>
              </w:rPr>
              <w:t>和</w:t>
            </w:r>
            <w:r>
              <w:rPr>
                <w:highlight w:val="yellow"/>
              </w:rPr>
              <w:t xml:space="preserve"> II</w:t>
            </w:r>
          </w:p>
        </w:tc>
        <w:tc>
          <w:tcPr>
            <w:tcW w:w="860" w:type="dxa"/>
            <w:gridSpan w:val="2"/>
            <w:vAlign w:val="top"/>
          </w:tcPr>
          <w:p>
            <w:pPr>
              <w:rPr>
                <w:rFonts w:hint="eastAsia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863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荣誉法语</w:t>
            </w:r>
            <w:r>
              <w:rPr>
                <w:highlight w:val="yellow"/>
              </w:rPr>
              <w:t xml:space="preserve"> I, II, III, IV</w:t>
            </w:r>
          </w:p>
        </w:tc>
        <w:tc>
          <w:tcPr>
            <w:tcW w:w="863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荣誉西班牙</w:t>
            </w:r>
            <w:r>
              <w:rPr>
                <w:highlight w:val="yellow"/>
              </w:rPr>
              <w:t xml:space="preserve"> I, II, III, IV</w:t>
            </w:r>
          </w:p>
        </w:tc>
        <w:tc>
          <w:tcPr>
            <w:tcW w:w="860" w:type="dxa"/>
            <w:gridSpan w:val="2"/>
            <w:vAlign w:val="top"/>
          </w:tcPr>
          <w:p>
            <w:pPr>
              <w:rPr>
                <w:rFonts w:hint="eastAsia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863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荣誉文明基础</w:t>
            </w:r>
          </w:p>
        </w:tc>
        <w:tc>
          <w:tcPr>
            <w:tcW w:w="863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荣誉世界历史</w:t>
            </w:r>
          </w:p>
        </w:tc>
        <w:tc>
          <w:tcPr>
            <w:tcW w:w="860" w:type="dxa"/>
            <w:gridSpan w:val="2"/>
            <w:vAlign w:val="top"/>
          </w:tcPr>
          <w:p>
            <w:pPr>
              <w:rPr>
                <w:rFonts w:hint="eastAsia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863" w:type="dxa"/>
            <w:vAlign w:val="top"/>
          </w:tcPr>
          <w:p>
            <w:r>
              <w:rPr>
                <w:rFonts w:hint="eastAsia"/>
                <w:highlight w:val="yellow"/>
              </w:rPr>
              <w:t>荣誉美国政府</w:t>
            </w:r>
          </w:p>
        </w:tc>
        <w:tc>
          <w:tcPr>
            <w:tcW w:w="863" w:type="dxa"/>
            <w:vAlign w:val="top"/>
          </w:tcPr>
          <w:p/>
        </w:tc>
        <w:tc>
          <w:tcPr>
            <w:tcW w:w="860" w:type="dxa"/>
            <w:gridSpan w:val="2"/>
            <w:vAlign w:val="top"/>
          </w:tcPr>
          <w:p/>
        </w:tc>
      </w:tr>
    </w:tbl>
    <w:p>
      <w:pPr>
        <w:rPr>
          <w:highlight w:val="yellow"/>
          <w:u w:val="single"/>
        </w:rPr>
      </w:pPr>
      <w:r>
        <w:rPr>
          <w:highlight w:val="yellow"/>
        </w:rPr>
        <w:t xml:space="preserve">*IB </w:t>
      </w:r>
      <w:r>
        <w:rPr>
          <w:rFonts w:hint="eastAsia"/>
          <w:highlight w:val="yellow"/>
        </w:rPr>
        <w:t>课程所包括标准水平（SL）和高级水平（HL）课程。如果学生想要获得IB文凭，需要至少学习3门以上高级水平（HL）课程。</w:t>
      </w:r>
    </w:p>
    <w:p>
      <w:pPr>
        <w:rPr>
          <w:highlight w:val="yellow"/>
        </w:rPr>
      </w:pPr>
      <w:r>
        <w:rPr>
          <w:rFonts w:hint="eastAsia"/>
          <w:highlight w:val="yellow"/>
          <w:u w:val="single"/>
        </w:rPr>
        <w:t>宗教课程：</w:t>
      </w:r>
      <w:r>
        <w:rPr>
          <w:rFonts w:hint="eastAsia"/>
          <w:highlight w:val="yellow"/>
        </w:rPr>
        <w:t>要求学生每年必须学习一门宗教课程才能毕业。</w:t>
      </w:r>
      <w:r>
        <w:rPr>
          <w:highlight w:val="yellow"/>
        </w:rPr>
        <w:t xml:space="preserve"> </w:t>
      </w:r>
    </w:p>
    <w:p>
      <w:pPr>
        <w:rPr>
          <w:color w:val="auto"/>
          <w:highlight w:val="yellow"/>
        </w:rPr>
      </w:pPr>
      <w:r>
        <w:rPr>
          <w:rFonts w:hint="eastAsia"/>
          <w:highlight w:val="yellow"/>
          <w:u w:val="single"/>
        </w:rPr>
        <w:t>国际学生辅导：</w:t>
      </w:r>
      <w:r>
        <w:rPr>
          <w:rFonts w:hint="eastAsia"/>
          <w:color w:val="auto"/>
          <w:highlight w:val="yellow"/>
        </w:rPr>
        <w:t>学校与剑桥国际教育集团合作，为学生提供学术辅导项目以满足中学水平国际学生的需求，帮助学生提高英语和学术表现，增加国际学生申请名校的几率。</w:t>
      </w:r>
    </w:p>
    <w:p>
      <w:pPr>
        <w:rPr>
          <w:color w:val="auto"/>
        </w:rPr>
      </w:pPr>
      <w:r>
        <w:rPr>
          <w:rFonts w:hint="eastAsia"/>
          <w:color w:val="auto"/>
          <w:highlight w:val="yellow"/>
          <w:u w:val="single"/>
        </w:rPr>
        <w:t>特色科学课程：</w:t>
      </w:r>
      <w:r>
        <w:rPr>
          <w:rFonts w:hint="eastAsia"/>
          <w:color w:val="auto"/>
          <w:highlight w:val="yellow"/>
        </w:rPr>
        <w:t>概念物理学、生物化学、人体运动学和体育药物学、环境科学、司法科学</w:t>
      </w:r>
      <w:r>
        <w:rPr>
          <w:rFonts w:hint="eastAsia"/>
          <w:color w:val="auto"/>
        </w:rPr>
        <w:t>。</w:t>
      </w:r>
    </w:p>
    <w:p>
      <w:pPr>
        <w:rPr>
          <w:color w:val="auto"/>
        </w:rPr>
      </w:pPr>
      <w:r>
        <w:rPr>
          <w:rFonts w:hint="eastAsia"/>
          <w:color w:val="auto"/>
          <w:highlight w:val="yellow"/>
          <w:u w:val="single"/>
        </w:rPr>
        <w:t>商务和科技课程：</w:t>
      </w:r>
      <w:r>
        <w:rPr>
          <w:rFonts w:hint="eastAsia"/>
          <w:color w:val="auto"/>
          <w:highlight w:val="yellow"/>
        </w:rPr>
        <w:t>货币管理、企业家精神、法律与公正、高级电脑技术、编程和游戏设计、编程II、网络设计I和II、机器人I和II、全球信息科技</w:t>
      </w:r>
      <w:r>
        <w:rPr>
          <w:rFonts w:hint="eastAsia"/>
          <w:color w:val="auto"/>
        </w:rPr>
        <w:t>。</w:t>
      </w:r>
    </w:p>
    <w:p>
      <w:pPr>
        <w:rPr>
          <w:color w:val="auto"/>
          <w:highlight w:val="yellow"/>
        </w:rPr>
      </w:pPr>
      <w:r>
        <w:rPr>
          <w:rFonts w:hint="eastAsia"/>
          <w:color w:val="auto"/>
          <w:highlight w:val="yellow"/>
          <w:u w:val="single"/>
        </w:rPr>
        <w:t>艺术课程：</w:t>
      </w:r>
      <w:r>
        <w:rPr>
          <w:rFonts w:hint="eastAsia"/>
          <w:color w:val="auto"/>
          <w:highlight w:val="yellow"/>
        </w:rPr>
        <w:t>艺术鉴赏、素描和油画、陶艺和3D设计I、数字摄影和设计I、年鉴I和II</w:t>
      </w:r>
      <w:r>
        <w:rPr>
          <w:color w:val="auto"/>
          <w:highlight w:val="yellow"/>
        </w:rPr>
        <w:t xml:space="preserve"> </w:t>
      </w:r>
      <w:r>
        <w:rPr>
          <w:rFonts w:hint="eastAsia"/>
          <w:color w:val="auto"/>
          <w:highlight w:val="yellow"/>
        </w:rPr>
        <w:t>。</w:t>
      </w:r>
    </w:p>
    <w:p>
      <w:pPr>
        <w:rPr>
          <w:color w:val="auto"/>
        </w:rPr>
      </w:pPr>
      <w:r>
        <w:rPr>
          <w:rFonts w:hint="eastAsia"/>
          <w:color w:val="auto"/>
          <w:highlight w:val="yellow"/>
          <w:u w:val="single"/>
        </w:rPr>
        <w:t>音乐课程：</w:t>
      </w:r>
      <w:r>
        <w:rPr>
          <w:rFonts w:hint="eastAsia"/>
          <w:color w:val="auto"/>
          <w:highlight w:val="yellow"/>
        </w:rPr>
        <w:t>乐队入门、管乐队、弦乐队、新生合唱团、音乐会合唱团、声乐队、音乐理论、作曲和音乐写作</w:t>
      </w:r>
      <w:r>
        <w:rPr>
          <w:rFonts w:hint="eastAsia"/>
          <w:color w:val="auto"/>
        </w:rPr>
        <w:t>。</w:t>
      </w:r>
    </w:p>
    <w:p>
      <w:pPr>
        <w:rPr>
          <w:color w:val="auto"/>
          <w:highlight w:val="yellow"/>
        </w:rPr>
      </w:pPr>
      <w:r>
        <w:rPr>
          <w:color w:val="auto"/>
          <w:highlight w:val="yellow"/>
          <w:u w:val="single"/>
        </w:rPr>
        <w:t xml:space="preserve">SAT </w:t>
      </w:r>
      <w:r>
        <w:rPr>
          <w:rFonts w:hint="eastAsia"/>
          <w:color w:val="auto"/>
          <w:highlight w:val="yellow"/>
          <w:u w:val="single"/>
        </w:rPr>
        <w:t>预备课程：</w:t>
      </w:r>
      <w:r>
        <w:rPr>
          <w:rFonts w:hint="eastAsia"/>
          <w:color w:val="auto"/>
          <w:highlight w:val="yellow"/>
        </w:rPr>
        <w:t>学校为11年级学生开设了SAT预备选修课程。课程教学生如何面对大学入学考试，解决各种问题、调节压力并管理时间。</w:t>
      </w:r>
    </w:p>
    <w:p>
      <w:pPr>
        <w:rPr>
          <w:color w:val="auto"/>
        </w:rPr>
      </w:pPr>
      <w:r>
        <w:rPr>
          <w:rFonts w:hint="eastAsia"/>
          <w:color w:val="auto"/>
          <w:highlight w:val="yellow"/>
          <w:u w:val="single"/>
        </w:rPr>
        <w:t>写作中心：</w:t>
      </w:r>
      <w:r>
        <w:rPr>
          <w:rFonts w:hint="eastAsia"/>
          <w:color w:val="auto"/>
          <w:highlight w:val="yellow"/>
        </w:rPr>
        <w:t>学校拥有一个写作中心，学生可以在此得到个性化化辅导、学习多种写作课程、并有安静的学习空间，写作中心配有5台电脑，供学生写作并打印写作作业。另外，还有资料供学生准备SAT的作文部分。还有很多文学和创意写作资料供学生使用。</w:t>
      </w:r>
    </w:p>
    <w:p>
      <w:pPr>
        <w:pStyle w:val="2"/>
      </w:pPr>
      <w:r>
        <w:rPr>
          <w:rFonts w:hint="eastAsia"/>
          <w:highlight w:val="yellow"/>
        </w:rPr>
        <w:t>课外活动与体育项目</w:t>
      </w:r>
    </w:p>
    <w:p>
      <w:r>
        <w:rPr>
          <w:rFonts w:hint="eastAsia"/>
        </w:rPr>
        <w:t>概要：</w:t>
      </w:r>
    </w:p>
    <w:p>
      <w:pPr>
        <w:pStyle w:val="20"/>
        <w:numPr>
          <w:ilvl w:val="0"/>
          <w:numId w:val="2"/>
        </w:numPr>
        <w:rPr>
          <w:highlight w:val="yellow"/>
        </w:rPr>
      </w:pPr>
      <w:r>
        <w:rPr>
          <w:rFonts w:hint="eastAsia"/>
          <w:highlight w:val="yellow"/>
        </w:rPr>
        <w:t>体育活动：</w:t>
      </w:r>
      <w:r>
        <w:rPr>
          <w:highlight w:val="yellow"/>
        </w:rPr>
        <w:t>11</w:t>
      </w:r>
    </w:p>
    <w:p>
      <w:pPr>
        <w:pStyle w:val="20"/>
        <w:numPr>
          <w:ilvl w:val="1"/>
          <w:numId w:val="2"/>
        </w:numPr>
      </w:pPr>
      <w:r>
        <w:rPr>
          <w:rFonts w:hint="eastAsia"/>
        </w:rPr>
        <w:t>参与率：</w:t>
      </w:r>
      <w:r>
        <w:t xml:space="preserve"> 40%</w:t>
      </w:r>
    </w:p>
    <w:p>
      <w:pPr>
        <w:pStyle w:val="20"/>
        <w:numPr>
          <w:ilvl w:val="0"/>
          <w:numId w:val="2"/>
        </w:numPr>
        <w:rPr>
          <w:highlight w:val="yellow"/>
        </w:rPr>
      </w:pPr>
      <w:r>
        <w:rPr>
          <w:rFonts w:hint="eastAsia"/>
          <w:highlight w:val="yellow"/>
        </w:rPr>
        <w:t>俱乐部和活动：</w:t>
      </w:r>
      <w:r>
        <w:rPr>
          <w:highlight w:val="yellow"/>
        </w:rPr>
        <w:t>24</w:t>
      </w:r>
    </w:p>
    <w:p>
      <w:pPr>
        <w:pStyle w:val="20"/>
        <w:numPr>
          <w:ilvl w:val="1"/>
          <w:numId w:val="2"/>
        </w:numPr>
      </w:pPr>
      <w:r>
        <w:rPr>
          <w:rFonts w:hint="eastAsia"/>
        </w:rPr>
        <w:t>参与率：</w:t>
      </w:r>
      <w:r>
        <w:t>65%</w:t>
      </w:r>
    </w:p>
    <w:tbl>
      <w:tblPr>
        <w:tblStyle w:val="16"/>
        <w:tblW w:w="7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394"/>
        <w:gridCol w:w="2394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788" w:type="dxa"/>
            <w:gridSpan w:val="2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俱乐部</w:t>
            </w:r>
          </w:p>
        </w:tc>
        <w:tc>
          <w:tcPr>
            <w:tcW w:w="2380" w:type="dxa"/>
            <w:vAlign w:val="top"/>
          </w:tcPr>
          <w:p>
            <w:pPr>
              <w:rPr>
                <w:rFonts w:hint="eastAsia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2394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合唱</w:t>
            </w:r>
          </w:p>
        </w:tc>
        <w:tc>
          <w:tcPr>
            <w:tcW w:w="2394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军乐队</w:t>
            </w:r>
          </w:p>
        </w:tc>
        <w:tc>
          <w:tcPr>
            <w:tcW w:w="2380" w:type="dxa"/>
            <w:vAlign w:val="top"/>
          </w:tcPr>
          <w:p>
            <w:pPr>
              <w:rPr>
                <w:rFonts w:hint="eastAsia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2" w:hRule="atLeast"/>
        </w:trPr>
        <w:tc>
          <w:tcPr>
            <w:tcW w:w="2394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艺术俱乐部</w:t>
            </w:r>
          </w:p>
        </w:tc>
        <w:tc>
          <w:tcPr>
            <w:tcW w:w="2394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长曲棍球爱好者</w:t>
            </w:r>
          </w:p>
        </w:tc>
        <w:tc>
          <w:tcPr>
            <w:tcW w:w="2380" w:type="dxa"/>
            <w:vAlign w:val="top"/>
          </w:tcPr>
          <w:p>
            <w:pPr>
              <w:rPr>
                <w:rFonts w:hint="eastAsia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2" w:hRule="atLeast"/>
        </w:trPr>
        <w:tc>
          <w:tcPr>
            <w:tcW w:w="2394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校园政府</w:t>
            </w:r>
          </w:p>
        </w:tc>
        <w:tc>
          <w:tcPr>
            <w:tcW w:w="2394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诗歌与写作俱乐部</w:t>
            </w:r>
          </w:p>
        </w:tc>
        <w:tc>
          <w:tcPr>
            <w:tcW w:w="2380" w:type="dxa"/>
            <w:vAlign w:val="top"/>
          </w:tcPr>
          <w:p>
            <w:pPr>
              <w:rPr>
                <w:rFonts w:hint="eastAsia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2" w:hRule="atLeast"/>
        </w:trPr>
        <w:tc>
          <w:tcPr>
            <w:tcW w:w="2394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管乐队</w:t>
            </w:r>
          </w:p>
        </w:tc>
        <w:tc>
          <w:tcPr>
            <w:tcW w:w="2394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辩论队</w:t>
            </w:r>
          </w:p>
        </w:tc>
        <w:tc>
          <w:tcPr>
            <w:tcW w:w="2380" w:type="dxa"/>
            <w:vAlign w:val="top"/>
          </w:tcPr>
          <w:p>
            <w:pPr>
              <w:rPr>
                <w:rFonts w:hint="eastAsia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2" w:hRule="atLeast"/>
        </w:trPr>
        <w:tc>
          <w:tcPr>
            <w:tcW w:w="2394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福音合唱</w:t>
            </w:r>
          </w:p>
        </w:tc>
        <w:tc>
          <w:tcPr>
            <w:tcW w:w="2394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足球爱好者</w:t>
            </w:r>
          </w:p>
        </w:tc>
        <w:tc>
          <w:tcPr>
            <w:tcW w:w="2380" w:type="dxa"/>
            <w:vAlign w:val="top"/>
          </w:tcPr>
          <w:p>
            <w:pPr>
              <w:rPr>
                <w:rFonts w:hint="eastAsia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2" w:hRule="atLeast"/>
        </w:trPr>
        <w:tc>
          <w:tcPr>
            <w:tcW w:w="2394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“Lionettes” </w:t>
            </w:r>
            <w:r>
              <w:rPr>
                <w:rFonts w:hint="eastAsia"/>
                <w:highlight w:val="yellow"/>
              </w:rPr>
              <w:t>舞蹈队</w:t>
            </w:r>
          </w:p>
        </w:tc>
        <w:tc>
          <w:tcPr>
            <w:tcW w:w="2394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国际俱乐部</w:t>
            </w:r>
          </w:p>
        </w:tc>
        <w:tc>
          <w:tcPr>
            <w:tcW w:w="2380" w:type="dxa"/>
            <w:vAlign w:val="top"/>
          </w:tcPr>
          <w:p>
            <w:pPr>
              <w:rPr>
                <w:rFonts w:hint="eastAsia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2" w:hRule="atLeast"/>
        </w:trPr>
        <w:tc>
          <w:tcPr>
            <w:tcW w:w="2394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机器人队</w:t>
            </w:r>
          </w:p>
        </w:tc>
        <w:tc>
          <w:tcPr>
            <w:tcW w:w="2394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文学杂志</w:t>
            </w:r>
          </w:p>
        </w:tc>
        <w:tc>
          <w:tcPr>
            <w:tcW w:w="2380" w:type="dxa"/>
            <w:vAlign w:val="top"/>
          </w:tcPr>
          <w:p>
            <w:pPr>
              <w:rPr>
                <w:rFonts w:hint="eastAsia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2" w:hRule="atLeast"/>
        </w:trPr>
        <w:tc>
          <w:tcPr>
            <w:tcW w:w="2394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同辈部</w:t>
            </w:r>
          </w:p>
        </w:tc>
        <w:tc>
          <w:tcPr>
            <w:tcW w:w="2394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模拟审判</w:t>
            </w:r>
          </w:p>
        </w:tc>
        <w:tc>
          <w:tcPr>
            <w:tcW w:w="2380" w:type="dxa"/>
            <w:vAlign w:val="top"/>
          </w:tcPr>
          <w:p>
            <w:pPr>
              <w:rPr>
                <w:rFonts w:hint="eastAsia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2" w:hRule="atLeast"/>
        </w:trPr>
        <w:tc>
          <w:tcPr>
            <w:tcW w:w="2394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乒乓俱乐部</w:t>
            </w:r>
          </w:p>
        </w:tc>
        <w:tc>
          <w:tcPr>
            <w:tcW w:w="2394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照片俱乐部</w:t>
            </w:r>
          </w:p>
        </w:tc>
        <w:tc>
          <w:tcPr>
            <w:tcW w:w="2380" w:type="dxa"/>
            <w:vAlign w:val="top"/>
          </w:tcPr>
          <w:p>
            <w:pPr>
              <w:rPr>
                <w:rFonts w:hint="eastAsia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2" w:hRule="atLeast"/>
        </w:trPr>
        <w:tc>
          <w:tcPr>
            <w:tcW w:w="2394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脚步队</w:t>
            </w:r>
          </w:p>
        </w:tc>
        <w:tc>
          <w:tcPr>
            <w:tcW w:w="2394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心灵俱乐部</w:t>
            </w:r>
          </w:p>
        </w:tc>
        <w:tc>
          <w:tcPr>
            <w:tcW w:w="2380" w:type="dxa"/>
            <w:vAlign w:val="top"/>
          </w:tcPr>
          <w:p>
            <w:pPr>
              <w:rPr>
                <w:rFonts w:hint="eastAsia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2" w:hRule="atLeast"/>
        </w:trPr>
        <w:tc>
          <w:tcPr>
            <w:tcW w:w="2394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年鉴</w:t>
            </w:r>
          </w:p>
        </w:tc>
        <w:tc>
          <w:tcPr>
            <w:tcW w:w="2394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学生会</w:t>
            </w:r>
          </w:p>
        </w:tc>
        <w:tc>
          <w:tcPr>
            <w:tcW w:w="2380" w:type="dxa"/>
            <w:vAlign w:val="top"/>
          </w:tcPr>
          <w:p>
            <w:pPr>
              <w:rPr>
                <w:rFonts w:hint="eastAsia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2" w:hRule="atLeast"/>
        </w:trPr>
        <w:tc>
          <w:tcPr>
            <w:tcW w:w="2394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国家荣誉</w:t>
            </w:r>
          </w:p>
        </w:tc>
        <w:tc>
          <w:tcPr>
            <w:tcW w:w="2394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奥古斯丁学者</w:t>
            </w:r>
          </w:p>
        </w:tc>
        <w:tc>
          <w:tcPr>
            <w:tcW w:w="2380" w:type="dxa"/>
            <w:vAlign w:val="top"/>
          </w:tcPr>
          <w:p>
            <w:pPr>
              <w:rPr>
                <w:rFonts w:hint="eastAsia"/>
                <w:highlight w:val="yellow"/>
              </w:rPr>
            </w:pPr>
          </w:p>
        </w:tc>
      </w:tr>
    </w:tbl>
    <w:p>
      <w:pPr>
        <w:rPr>
          <w:highlight w:val="yellow"/>
        </w:rPr>
      </w:pPr>
    </w:p>
    <w:tbl>
      <w:tblPr>
        <w:tblStyle w:val="16"/>
        <w:tblW w:w="7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394"/>
        <w:gridCol w:w="2394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788" w:type="dxa"/>
            <w:gridSpan w:val="2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体育运动</w:t>
            </w:r>
          </w:p>
        </w:tc>
        <w:tc>
          <w:tcPr>
            <w:tcW w:w="2380" w:type="dxa"/>
            <w:vAlign w:val="top"/>
          </w:tcPr>
          <w:p>
            <w:pPr>
              <w:rPr>
                <w:rFonts w:hint="eastAsia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2394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拉拉队（女）</w:t>
            </w:r>
            <w:r>
              <w:rPr>
                <w:highlight w:val="yellow"/>
              </w:rPr>
              <w:t xml:space="preserve"> </w:t>
            </w:r>
          </w:p>
        </w:tc>
        <w:tc>
          <w:tcPr>
            <w:tcW w:w="2394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越野赛（男/女）</w:t>
            </w:r>
            <w:r>
              <w:rPr>
                <w:highlight w:val="yellow"/>
              </w:rPr>
              <w:t xml:space="preserve"> </w:t>
            </w:r>
          </w:p>
        </w:tc>
        <w:tc>
          <w:tcPr>
            <w:tcW w:w="2380" w:type="dxa"/>
            <w:vAlign w:val="top"/>
          </w:tcPr>
          <w:p>
            <w:pPr>
              <w:rPr>
                <w:rFonts w:hint="eastAsia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2" w:hRule="atLeast"/>
        </w:trPr>
        <w:tc>
          <w:tcPr>
            <w:tcW w:w="2394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棒球（男）</w:t>
            </w:r>
          </w:p>
        </w:tc>
        <w:tc>
          <w:tcPr>
            <w:tcW w:w="2394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篮球（男/女）</w:t>
            </w:r>
            <w:r>
              <w:rPr>
                <w:highlight w:val="yellow"/>
              </w:rPr>
              <w:t xml:space="preserve"> </w:t>
            </w:r>
          </w:p>
        </w:tc>
        <w:tc>
          <w:tcPr>
            <w:tcW w:w="2380" w:type="dxa"/>
            <w:vAlign w:val="top"/>
          </w:tcPr>
          <w:p>
            <w:pPr>
              <w:rPr>
                <w:rFonts w:hint="eastAsia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2" w:hRule="atLeast"/>
        </w:trPr>
        <w:tc>
          <w:tcPr>
            <w:tcW w:w="2394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足球（男）</w:t>
            </w:r>
            <w:r>
              <w:rPr>
                <w:highlight w:val="yellow"/>
              </w:rPr>
              <w:t xml:space="preserve"> </w:t>
            </w:r>
          </w:p>
        </w:tc>
        <w:tc>
          <w:tcPr>
            <w:tcW w:w="2394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高尔夫（男/女）</w:t>
            </w:r>
          </w:p>
        </w:tc>
        <w:tc>
          <w:tcPr>
            <w:tcW w:w="2380" w:type="dxa"/>
            <w:vAlign w:val="top"/>
          </w:tcPr>
          <w:p>
            <w:pPr>
              <w:rPr>
                <w:rFonts w:hint="eastAsia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2" w:hRule="atLeast"/>
        </w:trPr>
        <w:tc>
          <w:tcPr>
            <w:tcW w:w="2394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长曲棍球（男/女）</w:t>
            </w:r>
            <w:r>
              <w:rPr>
                <w:highlight w:val="yellow"/>
              </w:rPr>
              <w:t xml:space="preserve"> </w:t>
            </w:r>
          </w:p>
        </w:tc>
        <w:tc>
          <w:tcPr>
            <w:tcW w:w="2394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足球（男/女）</w:t>
            </w:r>
          </w:p>
        </w:tc>
        <w:tc>
          <w:tcPr>
            <w:tcW w:w="2380" w:type="dxa"/>
            <w:vAlign w:val="top"/>
          </w:tcPr>
          <w:p>
            <w:pPr>
              <w:rPr>
                <w:rFonts w:hint="eastAsia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2" w:hRule="atLeast"/>
        </w:trPr>
        <w:tc>
          <w:tcPr>
            <w:tcW w:w="2394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垒球（女）</w:t>
            </w:r>
            <w:r>
              <w:rPr>
                <w:highlight w:val="yellow"/>
              </w:rPr>
              <w:t xml:space="preserve"> </w:t>
            </w:r>
          </w:p>
        </w:tc>
        <w:tc>
          <w:tcPr>
            <w:tcW w:w="2394" w:type="dxa"/>
            <w:vAlign w:val="top"/>
          </w:tcPr>
          <w:p>
            <w:pPr>
              <w:rPr>
                <w:highlight w:val="yellow"/>
              </w:rPr>
            </w:pPr>
            <w:r>
              <w:rPr>
                <w:rFonts w:hint="eastAsia"/>
                <w:highlight w:val="yellow"/>
              </w:rPr>
              <w:t>田径（男/女）</w:t>
            </w:r>
            <w:r>
              <w:rPr>
                <w:highlight w:val="yellow"/>
              </w:rPr>
              <w:t xml:space="preserve"> </w:t>
            </w:r>
          </w:p>
        </w:tc>
        <w:tc>
          <w:tcPr>
            <w:tcW w:w="2380" w:type="dxa"/>
            <w:vAlign w:val="top"/>
          </w:tcPr>
          <w:p>
            <w:pPr>
              <w:rPr>
                <w:rFonts w:hint="eastAsia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2" w:hRule="atLeast"/>
        </w:trPr>
        <w:tc>
          <w:tcPr>
            <w:tcW w:w="2394" w:type="dxa"/>
            <w:vAlign w:val="top"/>
          </w:tcPr>
          <w:p>
            <w:r>
              <w:rPr>
                <w:rFonts w:hint="eastAsia"/>
                <w:highlight w:val="yellow"/>
              </w:rPr>
              <w:t>排球（男/女）</w:t>
            </w:r>
            <w:r>
              <w:rPr>
                <w:highlight w:val="yellow"/>
              </w:rPr>
              <w:t xml:space="preserve"> </w:t>
            </w:r>
          </w:p>
        </w:tc>
        <w:tc>
          <w:tcPr>
            <w:tcW w:w="2394" w:type="dxa"/>
            <w:vAlign w:val="top"/>
          </w:tcPr>
          <w:p/>
        </w:tc>
        <w:tc>
          <w:tcPr>
            <w:tcW w:w="2380" w:type="dxa"/>
            <w:vAlign w:val="top"/>
          </w:tcPr>
          <w:p/>
        </w:tc>
      </w:tr>
    </w:tbl>
    <w:p>
      <w:pPr>
        <w:pStyle w:val="2"/>
      </w:pPr>
      <w:bookmarkStart w:id="0" w:name="id.1ff7c70c6d01"/>
      <w:bookmarkEnd w:id="0"/>
      <w:r>
        <w:rPr>
          <w:rFonts w:hint="eastAsia"/>
          <w:highlight w:val="yellow"/>
        </w:rPr>
        <w:t>升学统计</w:t>
      </w:r>
    </w:p>
    <w:p>
      <w:r>
        <w:rPr>
          <w:rFonts w:hint="eastAsia"/>
        </w:rPr>
        <w:t>概要信息：</w:t>
      </w:r>
    </w:p>
    <w:p>
      <w:pPr>
        <w:pStyle w:val="20"/>
        <w:numPr>
          <w:ilvl w:val="0"/>
          <w:numId w:val="3"/>
        </w:numPr>
      </w:pPr>
      <w:r>
        <w:rPr>
          <w:rFonts w:hint="eastAsia"/>
        </w:rPr>
        <w:t>大学录取率：</w:t>
      </w:r>
      <w:r>
        <w:t>98%</w:t>
      </w:r>
    </w:p>
    <w:p>
      <w:pPr>
        <w:pStyle w:val="20"/>
        <w:numPr>
          <w:ilvl w:val="0"/>
          <w:numId w:val="3"/>
        </w:numPr>
      </w:pPr>
      <w:r>
        <w:t xml:space="preserve">SAT </w:t>
      </w:r>
      <w:r>
        <w:rPr>
          <w:rFonts w:hint="eastAsia"/>
        </w:rPr>
        <w:t>（</w:t>
      </w:r>
      <w:r>
        <w:t>2014</w:t>
      </w:r>
      <w:r>
        <w:rPr>
          <w:rFonts w:hint="eastAsia"/>
        </w:rPr>
        <w:t>级）</w:t>
      </w:r>
      <w:r>
        <w:t xml:space="preserve">– 80% </w:t>
      </w:r>
      <w:r>
        <w:rPr>
          <w:rFonts w:hint="eastAsia"/>
        </w:rPr>
        <w:t>学生参加测试</w:t>
      </w:r>
    </w:p>
    <w:p>
      <w:pPr>
        <w:pStyle w:val="20"/>
        <w:numPr>
          <w:ilvl w:val="1"/>
          <w:numId w:val="3"/>
        </w:numPr>
      </w:pPr>
      <w:r>
        <w:rPr>
          <w:rFonts w:hint="eastAsia"/>
        </w:rPr>
        <w:t>平均分：</w:t>
      </w:r>
      <w:r>
        <w:t>1599</w:t>
      </w:r>
    </w:p>
    <w:p>
      <w:pPr>
        <w:pStyle w:val="20"/>
        <w:numPr>
          <w:ilvl w:val="1"/>
          <w:numId w:val="3"/>
        </w:numPr>
      </w:pPr>
      <w:r>
        <w:rPr>
          <w:rFonts w:hint="eastAsia"/>
        </w:rPr>
        <w:t>前</w:t>
      </w:r>
      <w:r>
        <w:t xml:space="preserve"> 30%</w:t>
      </w:r>
      <w:r>
        <w:rPr>
          <w:rFonts w:hint="eastAsia"/>
        </w:rPr>
        <w:t>：</w:t>
      </w:r>
      <w:r>
        <w:t>1843</w:t>
      </w:r>
    </w:p>
    <w:p>
      <w:pPr>
        <w:pStyle w:val="20"/>
        <w:numPr>
          <w:ilvl w:val="1"/>
          <w:numId w:val="3"/>
        </w:numPr>
      </w:pPr>
      <w:r>
        <w:rPr>
          <w:rFonts w:hint="eastAsia"/>
        </w:rPr>
        <w:t>前</w:t>
      </w:r>
      <w:r>
        <w:t xml:space="preserve"> 10%</w:t>
      </w:r>
      <w:r>
        <w:rPr>
          <w:rFonts w:hint="eastAsia"/>
        </w:rPr>
        <w:t>：</w:t>
      </w:r>
      <w:r>
        <w:t>1950</w:t>
      </w:r>
    </w:p>
    <w:p>
      <w:pPr>
        <w:pStyle w:val="6"/>
      </w:pPr>
      <w:r>
        <w:t>2010-2014</w:t>
      </w:r>
      <w:r>
        <w:rPr>
          <w:rFonts w:hint="eastAsia"/>
        </w:rPr>
        <w:t>级/届</w:t>
      </w:r>
    </w:p>
    <w:tbl>
      <w:tblPr>
        <w:tblStyle w:val="16"/>
        <w:tblW w:w="129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98"/>
        <w:gridCol w:w="4140"/>
        <w:gridCol w:w="1260"/>
        <w:gridCol w:w="1260"/>
        <w:gridCol w:w="5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5238" w:type="dxa"/>
        </w:trPr>
        <w:tc>
          <w:tcPr>
            <w:tcW w:w="1098" w:type="dxa"/>
            <w:vAlign w:val="top"/>
          </w:tcPr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排名</w:t>
            </w:r>
            <w:r>
              <w:rPr>
                <w:u w:val="single"/>
              </w:rPr>
              <w:t>*</w:t>
            </w:r>
          </w:p>
        </w:tc>
        <w:tc>
          <w:tcPr>
            <w:tcW w:w="4140" w:type="dxa"/>
            <w:vAlign w:val="top"/>
          </w:tcPr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学校名称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u w:val="single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录取学生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5238" w:type="dxa"/>
        </w:trPr>
        <w:tc>
          <w:tcPr>
            <w:tcW w:w="1098" w:type="dxa"/>
            <w:vAlign w:val="center"/>
          </w:tcPr>
          <w:p>
            <w:bookmarkStart w:id="1" w:name="_GoBack" w:colFirst="1" w:colLast="2"/>
            <w:r>
              <w:t>5</w:t>
            </w:r>
          </w:p>
        </w:tc>
        <w:tc>
          <w:tcPr>
            <w:tcW w:w="4140" w:type="dxa"/>
            <w:vAlign w:val="center"/>
          </w:tcPr>
          <w:p>
            <w:r>
              <w:rPr>
                <w:rFonts w:hint="eastAsia"/>
              </w:rPr>
              <w:t>芝加哥大学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5238" w:type="dxa"/>
        </w:trPr>
        <w:tc>
          <w:tcPr>
            <w:tcW w:w="1098" w:type="dxa"/>
            <w:vAlign w:val="center"/>
          </w:tcPr>
          <w:p>
            <w:r>
              <w:t>10</w:t>
            </w:r>
          </w:p>
        </w:tc>
        <w:tc>
          <w:tcPr>
            <w:tcW w:w="4140" w:type="dxa"/>
            <w:vAlign w:val="center"/>
          </w:tcPr>
          <w:p>
            <w:r>
              <w:rPr>
                <w:rFonts w:hint="eastAsia"/>
              </w:rPr>
              <w:t>达特茅斯学院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5238" w:type="dxa"/>
        </w:trPr>
        <w:tc>
          <w:tcPr>
            <w:tcW w:w="1098" w:type="dxa"/>
            <w:vAlign w:val="center"/>
          </w:tcPr>
          <w:p>
            <w:r>
              <w:t>20</w:t>
            </w:r>
          </w:p>
        </w:tc>
        <w:tc>
          <w:tcPr>
            <w:tcW w:w="4140" w:type="dxa"/>
            <w:vAlign w:val="center"/>
          </w:tcPr>
          <w:p>
            <w:r>
              <w:rPr>
                <w:rFonts w:hint="eastAsia"/>
              </w:rPr>
              <w:t>乔治城大学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5238" w:type="dxa"/>
        </w:trPr>
        <w:tc>
          <w:tcPr>
            <w:tcW w:w="1098" w:type="dxa"/>
            <w:vAlign w:val="center"/>
          </w:tcPr>
          <w:p>
            <w:r>
              <w:t>28</w:t>
            </w:r>
          </w:p>
        </w:tc>
        <w:tc>
          <w:tcPr>
            <w:tcW w:w="4140" w:type="dxa"/>
            <w:vAlign w:val="center"/>
          </w:tcPr>
          <w:p>
            <w:r>
              <w:rPr>
                <w:rFonts w:hint="eastAsia"/>
              </w:rPr>
              <w:t>弗吉尼亚大学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5238" w:type="dxa"/>
        </w:trPr>
        <w:tc>
          <w:tcPr>
            <w:tcW w:w="1098" w:type="dxa"/>
            <w:vAlign w:val="center"/>
          </w:tcPr>
          <w:p>
            <w:r>
              <w:t>30</w:t>
            </w:r>
          </w:p>
        </w:tc>
        <w:tc>
          <w:tcPr>
            <w:tcW w:w="4140" w:type="dxa"/>
            <w:vAlign w:val="center"/>
          </w:tcPr>
          <w:p>
            <w:r>
              <w:rPr>
                <w:rFonts w:hint="eastAsia"/>
              </w:rPr>
              <w:t>北卡罗来纳大学</w:t>
            </w:r>
            <w:r>
              <w:t xml:space="preserve">– </w:t>
            </w:r>
            <w:r>
              <w:rPr>
                <w:rFonts w:hint="eastAsia"/>
              </w:rPr>
              <w:t>教堂山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5238" w:type="dxa"/>
        </w:trPr>
        <w:tc>
          <w:tcPr>
            <w:tcW w:w="1098" w:type="dxa"/>
            <w:vAlign w:val="center"/>
          </w:tcPr>
          <w:p>
            <w:r>
              <w:t>31</w:t>
            </w:r>
          </w:p>
        </w:tc>
        <w:tc>
          <w:tcPr>
            <w:tcW w:w="4140" w:type="dxa"/>
            <w:vAlign w:val="center"/>
          </w:tcPr>
          <w:p>
            <w:r>
              <w:rPr>
                <w:rFonts w:hint="eastAsia"/>
              </w:rPr>
              <w:t>波士顿学院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5238" w:type="dxa"/>
        </w:trPr>
        <w:tc>
          <w:tcPr>
            <w:tcW w:w="1098" w:type="dxa"/>
            <w:vAlign w:val="center"/>
          </w:tcPr>
          <w:p>
            <w:r>
              <w:t>36</w:t>
            </w:r>
          </w:p>
        </w:tc>
        <w:tc>
          <w:tcPr>
            <w:tcW w:w="4140" w:type="dxa"/>
            <w:vAlign w:val="center"/>
          </w:tcPr>
          <w:p>
            <w:r>
              <w:rPr>
                <w:rFonts w:hint="eastAsia"/>
              </w:rPr>
              <w:t>乔治亚理工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5238" w:type="dxa"/>
        </w:trPr>
        <w:tc>
          <w:tcPr>
            <w:tcW w:w="1098" w:type="dxa"/>
            <w:vAlign w:val="center"/>
          </w:tcPr>
          <w:p>
            <w:r>
              <w:t>41</w:t>
            </w:r>
          </w:p>
        </w:tc>
        <w:tc>
          <w:tcPr>
            <w:tcW w:w="4140" w:type="dxa"/>
            <w:vAlign w:val="center"/>
          </w:tcPr>
          <w:p>
            <w:r>
              <w:rPr>
                <w:rFonts w:hint="eastAsia"/>
              </w:rPr>
              <w:t>波士顿大学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5238" w:type="dxa"/>
        </w:trPr>
        <w:tc>
          <w:tcPr>
            <w:tcW w:w="1098" w:type="dxa"/>
            <w:vAlign w:val="center"/>
          </w:tcPr>
          <w:p>
            <w:r>
              <w:t>62</w:t>
            </w:r>
          </w:p>
        </w:tc>
        <w:tc>
          <w:tcPr>
            <w:tcW w:w="4140" w:type="dxa"/>
            <w:vAlign w:val="center"/>
          </w:tcPr>
          <w:p>
            <w:r>
              <w:rPr>
                <w:rFonts w:hint="eastAsia"/>
              </w:rPr>
              <w:t>雪城大学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5238" w:type="dxa"/>
        </w:trPr>
        <w:tc>
          <w:tcPr>
            <w:tcW w:w="1098" w:type="dxa"/>
            <w:vAlign w:val="center"/>
          </w:tcPr>
          <w:p>
            <w:r>
              <w:t>62</w:t>
            </w:r>
          </w:p>
        </w:tc>
        <w:tc>
          <w:tcPr>
            <w:tcW w:w="4140" w:type="dxa"/>
            <w:vAlign w:val="center"/>
          </w:tcPr>
          <w:p>
            <w:r>
              <w:rPr>
                <w:rFonts w:hint="eastAsia"/>
              </w:rPr>
              <w:t>匹兹堡大学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5238" w:type="dxa"/>
        </w:trPr>
        <w:tc>
          <w:tcPr>
            <w:tcW w:w="1098" w:type="dxa"/>
            <w:vAlign w:val="center"/>
          </w:tcPr>
          <w:p>
            <w:r>
              <w:t>69</w:t>
            </w:r>
          </w:p>
        </w:tc>
        <w:tc>
          <w:tcPr>
            <w:tcW w:w="4140" w:type="dxa"/>
            <w:vAlign w:val="center"/>
          </w:tcPr>
          <w:p>
            <w:r>
              <w:rPr>
                <w:rFonts w:hint="eastAsia"/>
              </w:rPr>
              <w:t>罗格斯大学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r>
              <w:t>6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498" w:type="dxa"/>
            <w:gridSpan w:val="3"/>
            <w:vAlign w:val="top"/>
          </w:tcPr>
          <w:p>
            <w:r>
              <w:t xml:space="preserve">*2013 </w:t>
            </w:r>
            <w:r>
              <w:rPr>
                <w:rFonts w:hint="eastAsia"/>
              </w:rPr>
              <w:t>美国新闻和世界报道 全美排名</w:t>
            </w:r>
          </w:p>
        </w:tc>
        <w:tc>
          <w:tcPr>
            <w:tcW w:w="6498" w:type="dxa"/>
            <w:gridSpan w:val="2"/>
            <w:vAlign w:val="top"/>
          </w:tcPr>
          <w:p/>
        </w:tc>
      </w:tr>
    </w:tbl>
    <w:p>
      <w:pPr>
        <w:pStyle w:val="2"/>
      </w:pPr>
      <w:r>
        <w:rPr>
          <w:rFonts w:hint="eastAsia"/>
        </w:rPr>
        <w:t>学校概况</w:t>
      </w:r>
    </w:p>
    <w:p>
      <w:pPr>
        <w:pStyle w:val="6"/>
      </w:pPr>
      <w:r>
        <w:rPr>
          <w:rFonts w:hint="eastAsia"/>
        </w:rPr>
        <w:t>学校历史</w:t>
      </w:r>
    </w:p>
    <w:p>
      <w:r>
        <w:rPr>
          <w:rFonts w:hint="eastAsia"/>
        </w:rPr>
        <w:t>学校坐落在一座山上，可以俯瞰到美国国会大厦，并以美国第一任天主教大主教名字命名。1971年，学校开学典礼时，前来参加的人员达7000人，美国著名报纸华盛顿邮报也报道此事。2009年，学校引进著名的国际文凭项目。</w:t>
      </w:r>
    </w:p>
    <w:p>
      <w:pPr>
        <w:pStyle w:val="6"/>
      </w:pPr>
      <w:r>
        <w:rPr>
          <w:rFonts w:hint="eastAsia"/>
          <w:highlight w:val="yellow"/>
        </w:rPr>
        <w:t>地理位置</w:t>
      </w:r>
    </w:p>
    <w:p>
      <w:r>
        <w:rPr>
          <w:rFonts w:hint="eastAsia"/>
        </w:rPr>
        <w:t>华盛顿特区是美国的首都，经济繁荣，还是4家500强公司的总部所在地。该地区聚集了教育、金融、公共政治和科学领域的最先进的研究机构。华盛顿特区还是美国著名的游览胜地，这里有林肯纪念堂、国家档案中心、</w:t>
      </w:r>
      <w:r>
        <w:t>史密森研究所</w:t>
      </w:r>
      <w:r>
        <w:rPr>
          <w:rFonts w:hint="eastAsia"/>
        </w:rPr>
        <w:t>等</w:t>
      </w:r>
      <w:r>
        <w:t>19个博物馆</w:t>
      </w:r>
      <w:r>
        <w:rPr>
          <w:rFonts w:hint="eastAsia"/>
        </w:rPr>
        <w:t>和国家动物园。城市还有完善的公共交通系统，方便游客可以轻松地到达城市的主要景观。</w:t>
      </w:r>
    </w:p>
    <w:p>
      <w:pPr>
        <w:pStyle w:val="6"/>
      </w:pPr>
      <w:r>
        <w:rPr>
          <w:rFonts w:hint="eastAsia"/>
        </w:rPr>
        <w:t>教学理念</w:t>
      </w:r>
    </w:p>
    <w:p>
      <w:r>
        <w:rPr>
          <w:rFonts w:hint="eastAsia"/>
        </w:rPr>
        <w:t>学校是一所天主教、大学预备学校，欢迎年轻人前来学习，致力于创造一个学术严谨、多元、互助的环境，帮助学生更好地学习成长。</w:t>
      </w:r>
    </w:p>
    <w:p>
      <w:pPr>
        <w:pStyle w:val="6"/>
      </w:pPr>
      <w:r>
        <w:rPr>
          <w:rFonts w:hint="eastAsia"/>
          <w:highlight w:val="yellow"/>
        </w:rPr>
        <w:t>现代化设施</w:t>
      </w:r>
    </w:p>
    <w:p>
      <w:r>
        <w:rPr>
          <w:rFonts w:hint="eastAsia"/>
        </w:rPr>
        <w:t>学校教学楼为砖红色大楼，校园面积20英亩，绿色宜人，还配有设施齐全的户外足球田径场。周围还有住宅大楼、公园、大学和政府办公楼。周边特色有：</w:t>
      </w:r>
    </w:p>
    <w:p>
      <w:pPr>
        <w:pStyle w:val="20"/>
        <w:numPr>
          <w:ilvl w:val="0"/>
          <w:numId w:val="4"/>
        </w:numPr>
      </w:pPr>
      <w:r>
        <w:rPr>
          <w:rFonts w:hint="eastAsia"/>
        </w:rPr>
        <w:t>一条街区以外：</w:t>
      </w:r>
    </w:p>
    <w:p>
      <w:pPr>
        <w:pStyle w:val="20"/>
        <w:numPr>
          <w:ilvl w:val="1"/>
          <w:numId w:val="4"/>
        </w:numPr>
      </w:pPr>
      <w:r>
        <w:rPr>
          <w:rFonts w:hint="eastAsia"/>
        </w:rPr>
        <w:t>美国天主大学——美国唯一一所由天主教主教资助的大学，全美新闻和世界报道排名第121位。</w:t>
      </w:r>
    </w:p>
    <w:p>
      <w:pPr>
        <w:pStyle w:val="20"/>
        <w:numPr>
          <w:ilvl w:val="1"/>
          <w:numId w:val="4"/>
        </w:numPr>
      </w:pPr>
      <w:r>
        <w:rPr>
          <w:rFonts w:hint="eastAsia"/>
        </w:rPr>
        <w:t>圣心国家圣殿大教堂</w:t>
      </w:r>
      <w:r>
        <w:t xml:space="preserve"> </w:t>
      </w:r>
      <w:r>
        <w:rPr>
          <w:rFonts w:hint="eastAsia"/>
        </w:rPr>
        <w:t>——</w:t>
      </w:r>
      <w:r>
        <w:t xml:space="preserve"> </w:t>
      </w:r>
      <w:r>
        <w:rPr>
          <w:rFonts w:hint="eastAsia"/>
        </w:rPr>
        <w:t>是美国最大的天主教堂，也是美国国家天主教堂。</w:t>
      </w:r>
    </w:p>
    <w:p>
      <w:pPr>
        <w:pStyle w:val="20"/>
        <w:numPr>
          <w:ilvl w:val="0"/>
          <w:numId w:val="4"/>
        </w:numPr>
      </w:pPr>
      <w:r>
        <w:rPr>
          <w:rFonts w:hint="eastAsia"/>
        </w:rPr>
        <w:t>2英里距离内：</w:t>
      </w:r>
      <w:r>
        <w:t xml:space="preserve"> </w:t>
      </w:r>
    </w:p>
    <w:p>
      <w:pPr>
        <w:pStyle w:val="20"/>
        <w:numPr>
          <w:ilvl w:val="1"/>
          <w:numId w:val="4"/>
        </w:numPr>
      </w:pPr>
      <w:r>
        <w:t>Fort Totten</w:t>
      </w:r>
      <w:r>
        <w:rPr>
          <w:rFonts w:hint="eastAsia"/>
        </w:rPr>
        <w:t>和</w:t>
      </w:r>
      <w:r>
        <w:t xml:space="preserve"> Brookland </w:t>
      </w:r>
      <w:r>
        <w:rPr>
          <w:rFonts w:hint="eastAsia"/>
        </w:rPr>
        <w:t>地铁站，学生可以乘坐地铁到达城市各处。</w:t>
      </w:r>
    </w:p>
    <w:p>
      <w:pPr>
        <w:pStyle w:val="20"/>
        <w:numPr>
          <w:ilvl w:val="1"/>
          <w:numId w:val="4"/>
        </w:numPr>
      </w:pPr>
      <w:r>
        <w:rPr>
          <w:rFonts w:hint="eastAsia"/>
        </w:rPr>
        <w:t>霍华德大学——</w:t>
      </w:r>
      <w:r>
        <w:t xml:space="preserve"> </w:t>
      </w:r>
      <w:r>
        <w:rPr>
          <w:rFonts w:hint="eastAsia"/>
        </w:rPr>
        <w:t>美国大学排名第142位，是华盛顿特区最古老的大学，建于美国内战结束时期，为非裔美国人提供高等教育机会。</w:t>
      </w:r>
    </w:p>
    <w:p>
      <w:r>
        <w:rPr>
          <w:rFonts w:hint="eastAsia"/>
          <w:color w:val="auto"/>
        </w:rPr>
        <w:t>技术：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全部学生拥有Google应用软件账户，可以利用学校的学习管理系统追踪作业，上交电子作业等。几乎全部教室都配有</w:t>
      </w:r>
      <w:r>
        <w:rPr>
          <w:color w:val="auto"/>
        </w:rPr>
        <w:t xml:space="preserve">Mimio </w:t>
      </w:r>
      <w:r>
        <w:rPr>
          <w:rFonts w:hint="eastAsia"/>
          <w:color w:val="auto"/>
        </w:rPr>
        <w:t>互动白板，学生可以携带自己的平板电脑或笔记本电脑。学校也配有6个电脑实验室。</w:t>
      </w:r>
      <w:r>
        <w:rPr>
          <w:color w:val="auto"/>
        </w:rPr>
        <w:t xml:space="preserve"> </w:t>
      </w:r>
    </w:p>
    <w:p>
      <w:pPr>
        <w:pStyle w:val="6"/>
      </w:pPr>
      <w:r>
        <w:rPr>
          <w:rFonts w:hint="eastAsia"/>
        </w:rPr>
        <w:t>教师档案</w:t>
      </w:r>
    </w:p>
    <w:p>
      <w:r>
        <w:t xml:space="preserve">J.J. Gregg </w:t>
      </w:r>
      <w:r>
        <w:rPr>
          <w:rFonts w:hint="eastAsia"/>
        </w:rPr>
        <w:t>在学校担任生物化学和化学老师七年。他拥有泽维尔大学科学学士学位，圣母大学教育硕士学位。</w:t>
      </w:r>
      <w:r>
        <w:t xml:space="preserve"> </w:t>
      </w:r>
    </w:p>
    <w:p>
      <w:r>
        <w:t xml:space="preserve">Mark Roberts </w:t>
      </w:r>
      <w:r>
        <w:rPr>
          <w:rFonts w:hint="eastAsia"/>
        </w:rPr>
        <w:t>在学校教授英语课。他拥有哥伦比亚大学学士学位。他曾成功创建自己的营销公司，之后将公司出售，开始当教师。</w:t>
      </w:r>
    </w:p>
    <w:p>
      <w:pPr>
        <w:pStyle w:val="6"/>
      </w:pPr>
      <w:r>
        <w:rPr>
          <w:rFonts w:hint="eastAsia"/>
          <w:highlight w:val="yellow"/>
        </w:rPr>
        <w:t>国际学生成功故事</w:t>
      </w:r>
    </w:p>
    <w:p>
      <w:pPr>
        <w:widowControl w:val="0"/>
        <w:autoSpaceDE w:val="0"/>
        <w:autoSpaceDN w:val="0"/>
        <w:adjustRightInd w:val="0"/>
        <w:spacing w:after="0"/>
        <w:rPr>
          <w:color w:val="auto"/>
        </w:rPr>
      </w:pPr>
      <w:r>
        <w:rPr>
          <w:color w:val="auto"/>
        </w:rPr>
        <w:t>Trang Le</w:t>
      </w:r>
      <w:r>
        <w:rPr>
          <w:rFonts w:hint="eastAsia"/>
          <w:color w:val="auto"/>
        </w:rPr>
        <w:t>（</w:t>
      </w:r>
      <w:r>
        <w:rPr>
          <w:color w:val="auto"/>
        </w:rPr>
        <w:t>2014</w:t>
      </w:r>
      <w:r>
        <w:rPr>
          <w:rFonts w:hint="eastAsia"/>
          <w:color w:val="auto"/>
        </w:rPr>
        <w:t>届）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来自越南，收到来到以下学校的录取：肯特大学艺术学院、麻州学院艺术和设计时尚学院（美国时尚25所学院排名第3位）。他还是IB文凭候选人。</w:t>
      </w:r>
      <w:r>
        <w:rPr>
          <w:color w:val="auto"/>
        </w:rPr>
        <w:t xml:space="preserve"> </w:t>
      </w:r>
    </w:p>
    <w:p>
      <w:pPr>
        <w:pStyle w:val="6"/>
      </w:pPr>
      <w:r>
        <w:rPr>
          <w:rFonts w:hint="eastAsia"/>
          <w:highlight w:val="yellow"/>
        </w:rPr>
        <w:t>获奖和荣誉</w:t>
      </w:r>
    </w:p>
    <w:p>
      <w:pPr>
        <w:rPr>
          <w:highlight w:val="yellow"/>
        </w:rPr>
      </w:pPr>
      <w:r>
        <w:rPr>
          <w:rFonts w:hint="eastAsia"/>
          <w:highlight w:val="yellow"/>
        </w:rPr>
        <w:t>学校拉拉队赢得2013年美国学校精神奖，并飞到佛罗里达州在国家拉拉队大赛上领奖，国家电视台曾播出此次大赛。</w:t>
      </w:r>
    </w:p>
    <w:p>
      <w:r>
        <w:rPr>
          <w:rFonts w:hint="eastAsia"/>
          <w:highlight w:val="yellow"/>
        </w:rPr>
        <w:t>最近，两名学生在NBA打球，其中一名学生毕业后参加</w:t>
      </w:r>
      <w:r>
        <w:rPr>
          <w:highlight w:val="yellow"/>
        </w:rPr>
        <w:t>美国职业橄榄球联盟选秀大会</w:t>
      </w:r>
      <w:r>
        <w:rPr>
          <w:rFonts w:hint="eastAsia"/>
          <w:highlight w:val="yellow"/>
        </w:rPr>
        <w:t>。</w:t>
      </w:r>
    </w:p>
    <w:p>
      <w:r>
        <w:rPr>
          <w:rFonts w:hint="eastAsia"/>
        </w:rPr>
        <w:t>截止到今年，向大学申请奖学金的学生，平均获得由第一志愿大学颁发的</w:t>
      </w:r>
      <w:r>
        <w:t xml:space="preserve"> $110,000</w:t>
      </w:r>
      <w:r>
        <w:rPr>
          <w:rFonts w:hint="eastAsia"/>
        </w:rPr>
        <w:t>奖学金。</w:t>
      </w:r>
    </w:p>
    <w:p>
      <w:pPr>
        <w:pStyle w:val="6"/>
      </w:pPr>
      <w:r>
        <w:rPr>
          <w:rFonts w:hint="eastAsia"/>
          <w:highlight w:val="yellow"/>
        </w:rPr>
        <w:t>知名校友</w:t>
      </w:r>
    </w:p>
    <w:p>
      <w:r>
        <w:rPr>
          <w:highlight w:val="yellow"/>
        </w:rPr>
        <w:t>Michael Steel ’77</w:t>
      </w:r>
      <w:r>
        <w:rPr>
          <w:rFonts w:hint="eastAsia"/>
          <w:highlight w:val="yellow"/>
        </w:rPr>
        <w:t>是美国共和党第一名非裔领导人。还是马里兰州前任副州长。</w:t>
      </w:r>
    </w:p>
    <w:p>
      <w:r>
        <w:rPr>
          <w:highlight w:val="yellow"/>
        </w:rPr>
        <w:t xml:space="preserve">John Thompson, Jr ’60 </w:t>
      </w:r>
      <w:r>
        <w:rPr>
          <w:rFonts w:hint="eastAsia"/>
          <w:highlight w:val="yellow"/>
        </w:rPr>
        <w:t>担任乔治城大学篮球队教练，并带领队伍参加国家锦标赛。</w:t>
      </w:r>
    </w:p>
    <w:p>
      <w:pPr>
        <w:rPr>
          <w:highlight w:val="yellow"/>
        </w:rPr>
      </w:pPr>
      <w:r>
        <w:rPr>
          <w:highlight w:val="yellow"/>
        </w:rPr>
        <w:t>Edward Malloy</w:t>
      </w:r>
      <w:r>
        <w:rPr>
          <w:rFonts w:hint="eastAsia"/>
          <w:highlight w:val="yellow"/>
        </w:rPr>
        <w:t>在1975年获得范德堡大学天主教伦理哲学博士学位。之后，他到圣母大学教学，并成为圣母大学第16任校长。他还是范德堡大学、波特兰大学、圣托马斯大学、澳大利亚圣母大学的董事。</w:t>
      </w:r>
    </w:p>
    <w:p>
      <w:r>
        <w:rPr>
          <w:highlight w:val="yellow"/>
        </w:rPr>
        <w:t xml:space="preserve">Christopher Reyes </w:t>
      </w:r>
      <w:r>
        <w:rPr>
          <w:rFonts w:hint="eastAsia"/>
          <w:highlight w:val="yellow"/>
        </w:rPr>
        <w:t>和</w:t>
      </w:r>
      <w:r>
        <w:rPr>
          <w:highlight w:val="yellow"/>
        </w:rPr>
        <w:t>Jude Reyes</w:t>
      </w:r>
      <w:r>
        <w:rPr>
          <w:rFonts w:hint="eastAsia"/>
          <w:highlight w:val="yellow"/>
        </w:rPr>
        <w:t>，位列美国最富有的500位名人榜，因此被选入财富500强名单。</w:t>
      </w:r>
    </w:p>
    <w:p>
      <w:r>
        <w:rPr>
          <w:highlight w:val="yellow"/>
        </w:rPr>
        <w:t>Barry Rand</w:t>
      </w:r>
      <w:r>
        <w:rPr>
          <w:rFonts w:hint="eastAsia"/>
          <w:highlight w:val="yellow"/>
        </w:rPr>
        <w:t>，是</w:t>
      </w:r>
      <w:r>
        <w:rPr>
          <w:highlight w:val="yellow"/>
        </w:rPr>
        <w:t>Xerox</w:t>
      </w:r>
      <w:r>
        <w:rPr>
          <w:rFonts w:hint="eastAsia"/>
          <w:highlight w:val="yellow"/>
        </w:rPr>
        <w:t>公司的前任领导，并指派担任AARP领导，该公司拥有4千万人员。</w:t>
      </w:r>
    </w:p>
    <w:p>
      <w:r>
        <w:t>Kenyan McDuffie</w:t>
      </w:r>
      <w:r>
        <w:rPr>
          <w:rFonts w:hint="eastAsia"/>
        </w:rPr>
        <w:t>，已经再度当选为市议会议员。</w:t>
      </w:r>
      <w:r>
        <w:t>Michael A. Brown</w:t>
      </w:r>
      <w:r>
        <w:rPr>
          <w:rFonts w:hint="eastAsia"/>
        </w:rPr>
        <w:t>是前议员，</w:t>
      </w:r>
      <w:r>
        <w:t xml:space="preserve">Robert White </w:t>
      </w:r>
      <w:r>
        <w:rPr>
          <w:rFonts w:hint="eastAsia"/>
        </w:rPr>
        <w:t>是政府办公室的候选人。</w:t>
      </w:r>
    </w:p>
    <w:p>
      <w:pPr>
        <w:pStyle w:val="6"/>
      </w:pPr>
      <w:r>
        <w:rPr>
          <w:rFonts w:hint="eastAsia"/>
        </w:rPr>
        <w:t>资格认定</w:t>
      </w:r>
    </w:p>
    <w:p>
      <w:r>
        <w:rPr>
          <w:rFonts w:hint="eastAsia"/>
        </w:rPr>
        <w:t>学校获得中部学校学院联盟的认证。</w:t>
      </w:r>
    </w:p>
    <w:p>
      <w:pPr>
        <w:pStyle w:val="6"/>
      </w:pPr>
      <w:r>
        <w:rPr>
          <w:rFonts w:hint="eastAsia"/>
          <w:highlight w:val="yellow"/>
        </w:rPr>
        <w:t>学校人口统计</w:t>
      </w:r>
    </w:p>
    <w:p>
      <w:r>
        <w:rPr>
          <w:rFonts w:hint="eastAsia"/>
        </w:rPr>
        <w:t>学校的学生体现了学校的多元化和包容性。学生种族人口比率大约为非裔美国人90%、西班牙裔6%、白种人1%。</w:t>
      </w:r>
    </w:p>
    <w:sectPr>
      <w:footerReference r:id="rId4" w:type="default"/>
      <w:pgSz w:w="12240" w:h="15840"/>
      <w:pgMar w:top="1440" w:right="1440" w:bottom="99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1"/>
      <w:jc w:val="center"/>
    </w:pPr>
    <w:r>
      <w:t xml:space="preserve">All information in this profile is accurate as of </w:t>
    </w:r>
    <w:r>
      <w:rPr>
        <w:rFonts w:hint="eastAsia"/>
      </w:rPr>
      <w:t>Aug 28, 2014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934127284">
    <w:nsid w:val="734870B4"/>
    <w:multiLevelType w:val="multilevel"/>
    <w:tmpl w:val="734870B4"/>
    <w:lvl w:ilvl="0" w:tentative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43819886">
    <w:nsid w:val="5019106E"/>
    <w:multiLevelType w:val="multilevel"/>
    <w:tmpl w:val="5019106E"/>
    <w:lvl w:ilvl="0" w:tentative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35036739">
    <w:nsid w:val="3DB16843"/>
    <w:multiLevelType w:val="multilevel"/>
    <w:tmpl w:val="3DB16843"/>
    <w:lvl w:ilvl="0" w:tentative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7220802">
    <w:nsid w:val="05CB78C2"/>
    <w:multiLevelType w:val="multilevel"/>
    <w:tmpl w:val="05CB78C2"/>
    <w:lvl w:ilvl="0" w:tentative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35036739"/>
  </w:num>
  <w:num w:numId="2">
    <w:abstractNumId w:val="97220802"/>
  </w:num>
  <w:num w:numId="3">
    <w:abstractNumId w:val="1934127284"/>
  </w:num>
  <w:num w:numId="4">
    <w:abstractNumId w:val="134381988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20346"/>
    <w:rsid w:val="000064F8"/>
    <w:rsid w:val="000221AC"/>
    <w:rsid w:val="0002454D"/>
    <w:rsid w:val="00040679"/>
    <w:rsid w:val="0004094E"/>
    <w:rsid w:val="00041265"/>
    <w:rsid w:val="00043F04"/>
    <w:rsid w:val="0005642F"/>
    <w:rsid w:val="00066F39"/>
    <w:rsid w:val="00082DD0"/>
    <w:rsid w:val="000A2586"/>
    <w:rsid w:val="000A3C34"/>
    <w:rsid w:val="000B116E"/>
    <w:rsid w:val="000B5287"/>
    <w:rsid w:val="000C0F8D"/>
    <w:rsid w:val="000E0B88"/>
    <w:rsid w:val="000E55FC"/>
    <w:rsid w:val="000F7AAA"/>
    <w:rsid w:val="00100E1F"/>
    <w:rsid w:val="00107A58"/>
    <w:rsid w:val="001123F9"/>
    <w:rsid w:val="00124A16"/>
    <w:rsid w:val="00132AB5"/>
    <w:rsid w:val="00136113"/>
    <w:rsid w:val="00140D1A"/>
    <w:rsid w:val="00147E1D"/>
    <w:rsid w:val="001538DA"/>
    <w:rsid w:val="00173694"/>
    <w:rsid w:val="00173740"/>
    <w:rsid w:val="0017675A"/>
    <w:rsid w:val="00183E2B"/>
    <w:rsid w:val="00184669"/>
    <w:rsid w:val="001A366E"/>
    <w:rsid w:val="001B7E3C"/>
    <w:rsid w:val="001C2811"/>
    <w:rsid w:val="001C4043"/>
    <w:rsid w:val="001E25EF"/>
    <w:rsid w:val="001F642C"/>
    <w:rsid w:val="00210E23"/>
    <w:rsid w:val="00233EA2"/>
    <w:rsid w:val="00236CB2"/>
    <w:rsid w:val="00263DCF"/>
    <w:rsid w:val="00271CAF"/>
    <w:rsid w:val="0027212D"/>
    <w:rsid w:val="00273593"/>
    <w:rsid w:val="00275D56"/>
    <w:rsid w:val="00291CD4"/>
    <w:rsid w:val="002944BB"/>
    <w:rsid w:val="002A23A0"/>
    <w:rsid w:val="002B2C1A"/>
    <w:rsid w:val="002E2CA0"/>
    <w:rsid w:val="002E4BC4"/>
    <w:rsid w:val="002E71E8"/>
    <w:rsid w:val="002F43A4"/>
    <w:rsid w:val="00316265"/>
    <w:rsid w:val="003166B9"/>
    <w:rsid w:val="00316C6B"/>
    <w:rsid w:val="0032732B"/>
    <w:rsid w:val="003418D6"/>
    <w:rsid w:val="003471B1"/>
    <w:rsid w:val="00361FE4"/>
    <w:rsid w:val="00380BFD"/>
    <w:rsid w:val="00395AB3"/>
    <w:rsid w:val="003A43E5"/>
    <w:rsid w:val="003A6126"/>
    <w:rsid w:val="003B2301"/>
    <w:rsid w:val="003C31D0"/>
    <w:rsid w:val="003D0E8D"/>
    <w:rsid w:val="003D65FD"/>
    <w:rsid w:val="00413565"/>
    <w:rsid w:val="00414A71"/>
    <w:rsid w:val="00420F29"/>
    <w:rsid w:val="00422F66"/>
    <w:rsid w:val="00422F9B"/>
    <w:rsid w:val="00432BDD"/>
    <w:rsid w:val="00463C74"/>
    <w:rsid w:val="00476329"/>
    <w:rsid w:val="00476F80"/>
    <w:rsid w:val="0048616C"/>
    <w:rsid w:val="00490EB9"/>
    <w:rsid w:val="004D5D10"/>
    <w:rsid w:val="00501B76"/>
    <w:rsid w:val="00504E64"/>
    <w:rsid w:val="005057E8"/>
    <w:rsid w:val="005201F8"/>
    <w:rsid w:val="00521632"/>
    <w:rsid w:val="00523CB4"/>
    <w:rsid w:val="00525A11"/>
    <w:rsid w:val="00543AFE"/>
    <w:rsid w:val="00554BCC"/>
    <w:rsid w:val="00564933"/>
    <w:rsid w:val="00571CA0"/>
    <w:rsid w:val="00582A1C"/>
    <w:rsid w:val="00593785"/>
    <w:rsid w:val="00596D2F"/>
    <w:rsid w:val="005A6E1C"/>
    <w:rsid w:val="005B564F"/>
    <w:rsid w:val="005C2333"/>
    <w:rsid w:val="005C515F"/>
    <w:rsid w:val="005E31F8"/>
    <w:rsid w:val="005F5ED6"/>
    <w:rsid w:val="00600EDC"/>
    <w:rsid w:val="00602D6D"/>
    <w:rsid w:val="006076CF"/>
    <w:rsid w:val="00607801"/>
    <w:rsid w:val="00610391"/>
    <w:rsid w:val="006137C0"/>
    <w:rsid w:val="00633DDB"/>
    <w:rsid w:val="00642E1F"/>
    <w:rsid w:val="006529AA"/>
    <w:rsid w:val="00662656"/>
    <w:rsid w:val="00674E68"/>
    <w:rsid w:val="00675259"/>
    <w:rsid w:val="00685A7B"/>
    <w:rsid w:val="006944A7"/>
    <w:rsid w:val="006A01B4"/>
    <w:rsid w:val="006C0416"/>
    <w:rsid w:val="006C4391"/>
    <w:rsid w:val="006C7F84"/>
    <w:rsid w:val="006D4773"/>
    <w:rsid w:val="006D7319"/>
    <w:rsid w:val="006E2965"/>
    <w:rsid w:val="006F391E"/>
    <w:rsid w:val="006F557E"/>
    <w:rsid w:val="007217B0"/>
    <w:rsid w:val="007237C3"/>
    <w:rsid w:val="007239CF"/>
    <w:rsid w:val="00724308"/>
    <w:rsid w:val="007313E4"/>
    <w:rsid w:val="0073601A"/>
    <w:rsid w:val="00736E84"/>
    <w:rsid w:val="00746BFD"/>
    <w:rsid w:val="00756642"/>
    <w:rsid w:val="00767F97"/>
    <w:rsid w:val="00783A9E"/>
    <w:rsid w:val="00783F8F"/>
    <w:rsid w:val="00787D47"/>
    <w:rsid w:val="007A2D7B"/>
    <w:rsid w:val="007B37E2"/>
    <w:rsid w:val="007B7670"/>
    <w:rsid w:val="007C4F7F"/>
    <w:rsid w:val="007C6BE3"/>
    <w:rsid w:val="007D0953"/>
    <w:rsid w:val="007D1B0A"/>
    <w:rsid w:val="007E091F"/>
    <w:rsid w:val="007E6BD0"/>
    <w:rsid w:val="007F0874"/>
    <w:rsid w:val="007F359A"/>
    <w:rsid w:val="007F7B91"/>
    <w:rsid w:val="008033B9"/>
    <w:rsid w:val="00806926"/>
    <w:rsid w:val="00807CF5"/>
    <w:rsid w:val="00837E8D"/>
    <w:rsid w:val="00843CE6"/>
    <w:rsid w:val="00863714"/>
    <w:rsid w:val="00885FDB"/>
    <w:rsid w:val="00893ECC"/>
    <w:rsid w:val="008A33B1"/>
    <w:rsid w:val="008C2E48"/>
    <w:rsid w:val="008C426F"/>
    <w:rsid w:val="008F75CE"/>
    <w:rsid w:val="008F7F41"/>
    <w:rsid w:val="009039C9"/>
    <w:rsid w:val="009078A2"/>
    <w:rsid w:val="00914ABD"/>
    <w:rsid w:val="009154A5"/>
    <w:rsid w:val="00915927"/>
    <w:rsid w:val="00927FAF"/>
    <w:rsid w:val="0093757C"/>
    <w:rsid w:val="00963D94"/>
    <w:rsid w:val="009735C2"/>
    <w:rsid w:val="00997D35"/>
    <w:rsid w:val="009B42F5"/>
    <w:rsid w:val="009C37AF"/>
    <w:rsid w:val="009E2031"/>
    <w:rsid w:val="009E439E"/>
    <w:rsid w:val="009F2FC4"/>
    <w:rsid w:val="009F7AAE"/>
    <w:rsid w:val="00A05919"/>
    <w:rsid w:val="00A1486E"/>
    <w:rsid w:val="00A16B20"/>
    <w:rsid w:val="00A34F06"/>
    <w:rsid w:val="00A45829"/>
    <w:rsid w:val="00A7195E"/>
    <w:rsid w:val="00A93238"/>
    <w:rsid w:val="00A94A11"/>
    <w:rsid w:val="00AA4B83"/>
    <w:rsid w:val="00AD4E48"/>
    <w:rsid w:val="00AE21AD"/>
    <w:rsid w:val="00AE400F"/>
    <w:rsid w:val="00AF0101"/>
    <w:rsid w:val="00AF3F2A"/>
    <w:rsid w:val="00B01A30"/>
    <w:rsid w:val="00B03D0F"/>
    <w:rsid w:val="00B11C1E"/>
    <w:rsid w:val="00B13698"/>
    <w:rsid w:val="00B60F36"/>
    <w:rsid w:val="00B63A47"/>
    <w:rsid w:val="00B74C2E"/>
    <w:rsid w:val="00B93FD6"/>
    <w:rsid w:val="00BA2A1B"/>
    <w:rsid w:val="00BB4AC2"/>
    <w:rsid w:val="00BB50BE"/>
    <w:rsid w:val="00BE013B"/>
    <w:rsid w:val="00BF14E0"/>
    <w:rsid w:val="00C00685"/>
    <w:rsid w:val="00C10525"/>
    <w:rsid w:val="00C13617"/>
    <w:rsid w:val="00C14ED3"/>
    <w:rsid w:val="00C17415"/>
    <w:rsid w:val="00C21680"/>
    <w:rsid w:val="00C344B8"/>
    <w:rsid w:val="00C3705D"/>
    <w:rsid w:val="00C41B70"/>
    <w:rsid w:val="00C6338A"/>
    <w:rsid w:val="00C67CB9"/>
    <w:rsid w:val="00C77E04"/>
    <w:rsid w:val="00C85932"/>
    <w:rsid w:val="00CA31FD"/>
    <w:rsid w:val="00CA4C9B"/>
    <w:rsid w:val="00CC5CDE"/>
    <w:rsid w:val="00CF40AC"/>
    <w:rsid w:val="00D01C3A"/>
    <w:rsid w:val="00D34BB5"/>
    <w:rsid w:val="00D55BAB"/>
    <w:rsid w:val="00D55C96"/>
    <w:rsid w:val="00D63583"/>
    <w:rsid w:val="00D73A9D"/>
    <w:rsid w:val="00D83FA8"/>
    <w:rsid w:val="00D9659E"/>
    <w:rsid w:val="00D97A36"/>
    <w:rsid w:val="00DA155C"/>
    <w:rsid w:val="00DB1B48"/>
    <w:rsid w:val="00DB4281"/>
    <w:rsid w:val="00DD1C5B"/>
    <w:rsid w:val="00DD501E"/>
    <w:rsid w:val="00DE5957"/>
    <w:rsid w:val="00DF42E9"/>
    <w:rsid w:val="00DF5758"/>
    <w:rsid w:val="00E02CF5"/>
    <w:rsid w:val="00E16F21"/>
    <w:rsid w:val="00E20346"/>
    <w:rsid w:val="00E20AE1"/>
    <w:rsid w:val="00E24690"/>
    <w:rsid w:val="00E246FA"/>
    <w:rsid w:val="00E25952"/>
    <w:rsid w:val="00E344A7"/>
    <w:rsid w:val="00E51D42"/>
    <w:rsid w:val="00E54FAD"/>
    <w:rsid w:val="00E67E08"/>
    <w:rsid w:val="00E73973"/>
    <w:rsid w:val="00E74F8C"/>
    <w:rsid w:val="00E83724"/>
    <w:rsid w:val="00E92229"/>
    <w:rsid w:val="00E959EE"/>
    <w:rsid w:val="00EC3A2E"/>
    <w:rsid w:val="00EE28EE"/>
    <w:rsid w:val="00EF4B09"/>
    <w:rsid w:val="00EF6B7A"/>
    <w:rsid w:val="00F05E71"/>
    <w:rsid w:val="00F063CF"/>
    <w:rsid w:val="00F334AE"/>
    <w:rsid w:val="00F40050"/>
    <w:rsid w:val="00F44BCB"/>
    <w:rsid w:val="00F51E69"/>
    <w:rsid w:val="00F60C71"/>
    <w:rsid w:val="00F611F0"/>
    <w:rsid w:val="00F74781"/>
    <w:rsid w:val="00F81CA7"/>
    <w:rsid w:val="00F94EA7"/>
    <w:rsid w:val="00FC2347"/>
    <w:rsid w:val="00FC7117"/>
    <w:rsid w:val="5D6A4601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nhideWhenUsed="0" w:uiPriority="0" w:semiHidden="0" w:name="List Number 2"/>
    <w:lsdException w:uiPriority="0" w:name="List Number 3"/>
    <w:lsdException w:uiPriority="0" w:name="List Number 4"/>
    <w:lsdException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nhideWhenUsed="0" w:uiPriority="0" w:semiHidden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80"/>
    </w:pPr>
    <w:rPr>
      <w:rFonts w:ascii="Times New Roman" w:hAnsi="Times New Roman" w:eastAsia="宋体" w:cs="Times New Roman"/>
      <w:color w:val="00000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20" w:after="160"/>
      <w:outlineLvl w:val="0"/>
    </w:pPr>
    <w:rPr>
      <w:b/>
      <w:bCs/>
      <w:color w:val="365F91"/>
      <w:sz w:val="28"/>
      <w:szCs w:val="28"/>
    </w:rPr>
  </w:style>
  <w:style w:type="paragraph" w:styleId="3">
    <w:name w:val="heading 2"/>
    <w:basedOn w:val="1"/>
    <w:next w:val="1"/>
    <w:qFormat/>
    <w:uiPriority w:val="0"/>
    <w:pPr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4">
    <w:name w:val="heading 3"/>
    <w:basedOn w:val="1"/>
    <w:next w:val="1"/>
    <w:qFormat/>
    <w:uiPriority w:val="0"/>
    <w:pPr>
      <w:spacing w:before="200" w:after="0"/>
      <w:outlineLvl w:val="2"/>
    </w:pPr>
    <w:rPr>
      <w:b/>
      <w:bCs/>
      <w:color w:val="4F81BD"/>
    </w:rPr>
  </w:style>
  <w:style w:type="paragraph" w:styleId="5">
    <w:name w:val="heading 4"/>
    <w:basedOn w:val="1"/>
    <w:next w:val="1"/>
    <w:qFormat/>
    <w:uiPriority w:val="0"/>
    <w:pPr>
      <w:spacing w:before="200" w:after="0"/>
      <w:outlineLvl w:val="3"/>
    </w:pPr>
    <w:rPr>
      <w:b/>
      <w:bCs/>
      <w:i/>
      <w:iCs/>
      <w:color w:val="4F81BD"/>
    </w:rPr>
  </w:style>
  <w:style w:type="paragraph" w:styleId="6">
    <w:name w:val="heading 5"/>
    <w:basedOn w:val="1"/>
    <w:next w:val="1"/>
    <w:qFormat/>
    <w:uiPriority w:val="0"/>
    <w:pPr>
      <w:spacing w:before="200" w:after="0"/>
      <w:outlineLvl w:val="4"/>
    </w:pPr>
    <w:rPr>
      <w:color w:val="243F60"/>
      <w:u w:val="single"/>
    </w:rPr>
  </w:style>
  <w:style w:type="paragraph" w:styleId="7">
    <w:name w:val="heading 6"/>
    <w:basedOn w:val="1"/>
    <w:next w:val="1"/>
    <w:qFormat/>
    <w:uiPriority w:val="0"/>
    <w:pPr>
      <w:spacing w:before="200" w:after="0"/>
      <w:outlineLvl w:val="5"/>
    </w:pPr>
    <w:rPr>
      <w:i/>
      <w:iCs/>
      <w:color w:val="243F60"/>
    </w:rPr>
  </w:style>
  <w:style w:type="character" w:default="1" w:styleId="14">
    <w:name w:val="Default Paragraph Font"/>
    <w:unhideWhenUsed/>
    <w:uiPriority w:val="1"/>
  </w:style>
  <w:style w:type="table" w:default="1" w:styleId="16">
    <w:name w:val="Normal Table"/>
    <w:unhideWhenUsed/>
    <w:qFormat/>
    <w:uiPriority w:val="99"/>
    <w:tblPr>
      <w:tblStyle w:val="1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8">
    <w:name w:val="annotation subject"/>
    <w:basedOn w:val="9"/>
    <w:next w:val="9"/>
    <w:link w:val="27"/>
    <w:uiPriority w:val="0"/>
    <w:rPr>
      <w:b/>
      <w:bCs/>
    </w:rPr>
  </w:style>
  <w:style w:type="paragraph" w:styleId="9">
    <w:name w:val="annotation text"/>
    <w:basedOn w:val="1"/>
    <w:link w:val="26"/>
    <w:uiPriority w:val="0"/>
    <w:rPr>
      <w:sz w:val="20"/>
      <w:szCs w:val="20"/>
    </w:rPr>
  </w:style>
  <w:style w:type="paragraph" w:styleId="10">
    <w:name w:val="Balloon Text"/>
    <w:basedOn w:val="1"/>
    <w:link w:val="23"/>
    <w:uiPriority w:val="0"/>
    <w:pPr>
      <w:spacing w:after="0"/>
    </w:pPr>
    <w:rPr>
      <w:rFonts w:ascii="Tahoma" w:hAnsi="Tahoma" w:cs="Tahoma"/>
      <w:sz w:val="16"/>
      <w:szCs w:val="16"/>
    </w:rPr>
  </w:style>
  <w:style w:type="paragraph" w:styleId="11">
    <w:name w:val="footer"/>
    <w:basedOn w:val="1"/>
    <w:link w:val="22"/>
    <w:uiPriority w:val="99"/>
    <w:pPr>
      <w:tabs>
        <w:tab w:val="center" w:pos="4680"/>
        <w:tab w:val="right" w:pos="9360"/>
      </w:tabs>
      <w:spacing w:after="0"/>
    </w:pPr>
  </w:style>
  <w:style w:type="paragraph" w:styleId="12">
    <w:name w:val="header"/>
    <w:basedOn w:val="1"/>
    <w:link w:val="21"/>
    <w:uiPriority w:val="0"/>
    <w:pPr>
      <w:tabs>
        <w:tab w:val="center" w:pos="4680"/>
        <w:tab w:val="right" w:pos="9360"/>
      </w:tabs>
      <w:spacing w:after="0"/>
    </w:pPr>
  </w:style>
  <w:style w:type="paragraph" w:styleId="13">
    <w:name w:val="Title"/>
    <w:basedOn w:val="1"/>
    <w:next w:val="1"/>
    <w:link w:val="25"/>
    <w:qFormat/>
    <w:uiPriority w:val="0"/>
    <w:pPr>
      <w:pBdr>
        <w:bottom w:val="single" w:color="4F81BD" w:sz="8" w:space="4"/>
      </w:pBdr>
      <w:spacing w:after="300"/>
      <w:contextualSpacing/>
    </w:pPr>
    <w:rPr>
      <w:rFonts w:ascii="Cambria" w:hAnsi="Cambria" w:eastAsia="宋体"/>
      <w:color w:val="17365D"/>
      <w:spacing w:val="5"/>
      <w:kern w:val="28"/>
      <w:sz w:val="52"/>
      <w:szCs w:val="52"/>
    </w:rPr>
  </w:style>
  <w:style w:type="character" w:styleId="15">
    <w:name w:val="annotation reference"/>
    <w:uiPriority w:val="0"/>
    <w:rPr>
      <w:sz w:val="16"/>
      <w:szCs w:val="16"/>
    </w:rPr>
  </w:style>
  <w:style w:type="table" w:styleId="17">
    <w:name w:val="Table Grid"/>
    <w:basedOn w:val="16"/>
    <w:uiPriority w:val="0"/>
    <w:pPr/>
    <w:tblPr>
      <w:tblStyle w:val="1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18">
    <w:name w:val="Table 3D effects 3"/>
    <w:basedOn w:val="16"/>
    <w:uiPriority w:val="0"/>
    <w:pPr>
      <w:spacing w:after="80"/>
    </w:pPr>
    <w:tblPr>
      <w:tblStyle w:val="16"/>
      <w:tblStyleRowBandSize w:val="1"/>
      <w:tblStyleColBandSize w:val="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  <w:tblStylePr w:type="firstRow">
      <w:rPr>
        <w:b/>
        <w:bCs/>
      </w:rPr>
      <w:tblPr>
        <w:tblStyle w:val="16"/>
        <w:tblLayout w:type="fixed"/>
      </w:tblPr>
      <w:tcPr>
        <w:textDirection w:val="lrTb"/>
      </w:tcPr>
    </w:tblStylePr>
    <w:tblStylePr w:type="firstCol">
      <w:tblPr>
        <w:tblStyle w:val="16"/>
        <w:tblLayout w:type="fixed"/>
      </w:tblPr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  <w:textDirection w:val="lrTb"/>
      </w:tcPr>
    </w:tblStylePr>
    <w:tblStylePr w:type="lastCol">
      <w:tblPr>
        <w:tblStyle w:val="16"/>
        <w:tblLayout w:type="fixed"/>
      </w:tblPr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  <w:textDirection w:val="lrTb"/>
      </w:tcPr>
    </w:tblStylePr>
    <w:tblStylePr w:type="band1Vert">
      <w:rPr>
        <w:color w:val="auto"/>
      </w:rPr>
      <w:tblPr>
        <w:tblStyle w:val="16"/>
        <w:tblLayout w:type="fixed"/>
      </w:tblPr>
      <w:tcPr>
        <w:shd w:val="solid" w:color="C0C0C0" w:fill="FFFFFF"/>
        <w:textDirection w:val="lrTb"/>
      </w:tcPr>
    </w:tblStylePr>
    <w:tblStylePr w:type="band2Vert">
      <w:rPr>
        <w:color w:val="auto"/>
      </w:rPr>
      <w:tblPr>
        <w:tblStyle w:val="16"/>
        <w:tblLayout w:type="fixed"/>
      </w:tblPr>
      <w:tcPr>
        <w:shd w:val="pct50" w:color="C0C0C0" w:fill="FFFFFF"/>
        <w:textDirection w:val="lrTb"/>
      </w:tcPr>
    </w:tblStylePr>
    <w:tblStylePr w:type="band1Horz">
      <w:tblPr>
        <w:tblStyle w:val="16"/>
        <w:tblLayout w:type="fixed"/>
      </w:tblPr>
      <w:tcPr>
        <w:tcBorders>
          <w:top w:val="single" w:color="808080" w:sz="6" w:space="0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swCell">
      <w:rPr>
        <w:b/>
        <w:bCs/>
      </w:rPr>
      <w:tblPr>
        <w:tblStyle w:val="16"/>
        <w:tblLayout w:type="fixed"/>
      </w:tblPr>
      <w:tcPr>
        <w:textDirection w:val="lrTb"/>
      </w:tcPr>
    </w:tblStylePr>
  </w:style>
  <w:style w:type="table" w:styleId="19">
    <w:name w:val="Colorful Shading Accent 2"/>
    <w:basedOn w:val="16"/>
    <w:uiPriority w:val="71"/>
    <w:pPr/>
    <w:rPr>
      <w:color w:val="000000"/>
    </w:rPr>
    <w:tblPr>
      <w:tblStyle w:val="16"/>
      <w:tblStyleRowBandSize w:val="1"/>
      <w:tblStyleColBandSize w:val="1"/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  <w:textDirection w:val="lrTb"/>
    </w:tcPr>
    <w:tblStylePr w:type="firstRow">
      <w:rPr>
        <w:b/>
        <w:bCs/>
      </w:rPr>
      <w:tblPr>
        <w:tblStyle w:val="16"/>
        <w:tblLayout w:type="fixed"/>
      </w:tbl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  <w:textDirection w:val="lrTb"/>
      </w:tcPr>
    </w:tblStylePr>
    <w:tblStylePr w:type="lastRow">
      <w:rPr>
        <w:b/>
        <w:bCs/>
        <w:color w:val="FFFFFF"/>
      </w:rPr>
      <w:tblPr>
        <w:tblStyle w:val="16"/>
        <w:tblLayout w:type="fixed"/>
      </w:tblPr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  <w:textDirection w:val="lrTb"/>
      </w:tcPr>
    </w:tblStylePr>
    <w:tblStylePr w:type="firstCol">
      <w:rPr>
        <w:color w:val="FFFFFF"/>
      </w:rPr>
      <w:tblPr>
        <w:tblStyle w:val="16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  <w:textDirection w:val="lrTb"/>
      </w:tcPr>
    </w:tblStylePr>
    <w:tblStylePr w:type="lastCol">
      <w:rPr>
        <w:color w:val="FFFFFF"/>
      </w:rPr>
      <w:tblPr>
        <w:tblStyle w:val="16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  <w:textDirection w:val="lrTb"/>
      </w:tcPr>
    </w:tblStylePr>
    <w:tblStylePr w:type="band1Vert">
      <w:tblPr>
        <w:tblStyle w:val="16"/>
        <w:tblLayout w:type="fixed"/>
      </w:tblPr>
      <w:tcPr>
        <w:shd w:val="clear" w:color="auto" w:fill="E5B8B7"/>
        <w:textDirection w:val="lrTb"/>
      </w:tcPr>
    </w:tblStylePr>
    <w:tblStylePr w:type="band1Horz">
      <w:tblPr>
        <w:tblStyle w:val="16"/>
        <w:tblLayout w:type="fixed"/>
      </w:tblPr>
      <w:tcPr>
        <w:shd w:val="clear" w:color="auto" w:fill="DFA7A6"/>
        <w:textDirection w:val="lrTb"/>
      </w:tcPr>
    </w:tblStylePr>
    <w:tblStylePr w:type="neCell">
      <w:rPr>
        <w:color w:val="000000"/>
      </w:rPr>
      <w:tblPr>
        <w:tblStyle w:val="16"/>
        <w:tblLayout w:type="fixed"/>
      </w:tblPr>
      <w:tcPr>
        <w:textDirection w:val="lrTb"/>
      </w:tcPr>
    </w:tblStylePr>
    <w:tblStylePr w:type="nwCell">
      <w:rPr>
        <w:color w:val="000000"/>
      </w:rPr>
      <w:tblPr>
        <w:tblStyle w:val="16"/>
        <w:tblLayout w:type="fixed"/>
      </w:tblPr>
      <w:tcPr>
        <w:textDirection w:val="lrTb"/>
      </w:tcPr>
    </w:tblStylePr>
  </w:style>
  <w:style w:type="paragraph" w:customStyle="1" w:styleId="20">
    <w:name w:val="List Paragraph"/>
    <w:basedOn w:val="1"/>
    <w:qFormat/>
    <w:uiPriority w:val="34"/>
    <w:pPr>
      <w:ind w:left="720"/>
      <w:contextualSpacing/>
    </w:pPr>
  </w:style>
  <w:style w:type="character" w:customStyle="1" w:styleId="21">
    <w:name w:val="页眉 Char"/>
    <w:link w:val="12"/>
    <w:uiPriority w:val="0"/>
    <w:rPr>
      <w:color w:val="000000"/>
      <w:sz w:val="22"/>
      <w:szCs w:val="22"/>
    </w:rPr>
  </w:style>
  <w:style w:type="character" w:customStyle="1" w:styleId="22">
    <w:name w:val="页脚 Char"/>
    <w:link w:val="11"/>
    <w:uiPriority w:val="99"/>
    <w:rPr>
      <w:color w:val="000000"/>
      <w:sz w:val="22"/>
      <w:szCs w:val="22"/>
    </w:rPr>
  </w:style>
  <w:style w:type="character" w:customStyle="1" w:styleId="23">
    <w:name w:val="批注框文本 Char"/>
    <w:link w:val="10"/>
    <w:uiPriority w:val="0"/>
    <w:rPr>
      <w:rFonts w:ascii="Tahoma" w:hAnsi="Tahoma" w:cs="Tahoma"/>
      <w:color w:val="000000"/>
      <w:sz w:val="16"/>
      <w:szCs w:val="16"/>
    </w:rPr>
  </w:style>
  <w:style w:type="character" w:customStyle="1" w:styleId="24">
    <w:name w:val="apple-converted-space"/>
    <w:basedOn w:val="14"/>
    <w:uiPriority w:val="0"/>
    <w:rPr/>
  </w:style>
  <w:style w:type="character" w:customStyle="1" w:styleId="25">
    <w:name w:val="标题 Char"/>
    <w:link w:val="13"/>
    <w:uiPriority w:val="0"/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character" w:customStyle="1" w:styleId="26">
    <w:name w:val="批注文字 Char"/>
    <w:link w:val="9"/>
    <w:uiPriority w:val="0"/>
    <w:rPr>
      <w:color w:val="000000"/>
    </w:rPr>
  </w:style>
  <w:style w:type="character" w:customStyle="1" w:styleId="27">
    <w:name w:val="批注主题 Char"/>
    <w:link w:val="8"/>
    <w:uiPriority w:val="0"/>
    <w:rPr>
      <w:b/>
      <w:bCs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The Cambridge Institute</Company>
  <Pages>6</Pages>
  <Words>554</Words>
  <Characters>3161</Characters>
  <Lines>26</Lines>
  <Paragraphs>7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2014-08-28T06:17:00Z</dcterms:created>
  <dc:creator>Sarah Miller</dc:creator>
  <cp:lastModifiedBy>Administrator</cp:lastModifiedBy>
  <cp:lastPrinted>2011-07-27T20:43:00Z</cp:lastPrinted>
  <dcterms:modified xsi:type="dcterms:W3CDTF">2015-05-22T09:42:18Z</dcterms:modified>
  <dc:title>Archbishop Carroll High School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